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color w:val="000000"/>
        </w:rPr>
      </w:pPr>
      <w:r w:rsidDel="00000000" w:rsidR="00000000" w:rsidRPr="00000000">
        <w:rPr>
          <w:rtl w:val="0"/>
        </w:rPr>
      </w:r>
    </w:p>
    <w:p w:rsidR="00000000" w:rsidDel="00000000" w:rsidP="00000000" w:rsidRDefault="00000000" w:rsidRPr="00000000" w14:paraId="00000002">
      <w:pPr>
        <w:spacing w:after="0" w:line="240" w:lineRule="auto"/>
        <w:rPr>
          <w:b w:val="1"/>
          <w:color w:val="000000"/>
        </w:rPr>
      </w:pPr>
      <w:r w:rsidDel="00000000" w:rsidR="00000000" w:rsidRPr="00000000">
        <w:rPr>
          <w:b w:val="1"/>
          <w:color w:val="000000"/>
          <w:rtl w:val="0"/>
        </w:rPr>
        <w:t xml:space="preserve">1.- Que es CEAL? </w:t>
      </w:r>
    </w:p>
    <w:p w:rsidR="00000000" w:rsidDel="00000000" w:rsidP="00000000" w:rsidRDefault="00000000" w:rsidRPr="00000000" w14:paraId="00000003">
      <w:pPr>
        <w:spacing w:after="0" w:line="240" w:lineRule="auto"/>
        <w:rPr>
          <w:color w:val="000000"/>
        </w:rPr>
      </w:pPr>
      <w:r w:rsidDel="00000000" w:rsidR="00000000" w:rsidRPr="00000000">
        <w:rPr>
          <w:color w:val="000000"/>
          <w:rtl w:val="0"/>
        </w:rPr>
        <w:t xml:space="preserve">CEAL se enfoca en el manejo de la información errónea sobre el COVID-19, trabajar con socios y mensajeros confiables para brindar información precisa y educar a las comunidades sobre la importancia de la inclusión en la investigación clínica para superar el COVID-19. Y, lo más importante, educar sobre las disparidades de salud. Esto es especialmente importante para las personas que han sido mucho más afectadas por el COVID-19, como los afroamericanos, los hispanos/latinos y los indígenas estadounidenses/nativos de Alaska, que representan más de la mitad de todos los casos reportados en los Estados Unidos.</w:t>
      </w:r>
    </w:p>
    <w:p w:rsidR="00000000" w:rsidDel="00000000" w:rsidP="00000000" w:rsidRDefault="00000000" w:rsidRPr="00000000" w14:paraId="00000004">
      <w:pPr>
        <w:spacing w:after="0" w:line="240" w:lineRule="auto"/>
        <w:rPr>
          <w:color w:val="000000"/>
        </w:rPr>
      </w:pPr>
      <w:r w:rsidDel="00000000" w:rsidR="00000000" w:rsidRPr="00000000">
        <w:rPr>
          <w:color w:val="000000"/>
          <w:rtl w:val="0"/>
        </w:rPr>
        <w:t xml:space="preserve">Los equipos de investigación de CEAL también realizan investigaciones sobre las estrategias más efectivas para garantizar la inclusión. También buscan involucrar, educar y crear conciencia en estos grupos sobre los estudios clínicos de vacunas y tratamientos para prevenir y tratar la enfermedad.</w:t>
      </w:r>
    </w:p>
    <w:p w:rsidR="00000000" w:rsidDel="00000000" w:rsidP="00000000" w:rsidRDefault="00000000" w:rsidRPr="00000000" w14:paraId="00000005">
      <w:pPr>
        <w:spacing w:after="0" w:line="240" w:lineRule="auto"/>
        <w:rPr>
          <w:color w:val="000000"/>
        </w:rPr>
      </w:pPr>
      <w:r w:rsidDel="00000000" w:rsidR="00000000" w:rsidRPr="00000000">
        <w:rPr>
          <w:rtl w:val="0"/>
        </w:rPr>
      </w:r>
    </w:p>
    <w:p w:rsidR="00000000" w:rsidDel="00000000" w:rsidP="00000000" w:rsidRDefault="00000000" w:rsidRPr="00000000" w14:paraId="00000006">
      <w:pPr>
        <w:spacing w:after="0" w:line="240" w:lineRule="auto"/>
        <w:rPr>
          <w:b w:val="1"/>
          <w:color w:val="000000"/>
        </w:rPr>
      </w:pPr>
      <w:r w:rsidDel="00000000" w:rsidR="00000000" w:rsidRPr="00000000">
        <w:rPr>
          <w:b w:val="1"/>
          <w:color w:val="000000"/>
          <w:rtl w:val="0"/>
        </w:rPr>
        <w:t xml:space="preserve">2.- Beneficios de las vacunas?</w:t>
      </w:r>
    </w:p>
    <w:p w:rsidR="00000000" w:rsidDel="00000000" w:rsidP="00000000" w:rsidRDefault="00000000" w:rsidRPr="00000000" w14:paraId="00000007">
      <w:pPr>
        <w:spacing w:after="0" w:line="240" w:lineRule="auto"/>
        <w:rPr>
          <w:color w:val="000000"/>
        </w:rPr>
      </w:pPr>
      <w:r w:rsidDel="00000000" w:rsidR="00000000" w:rsidRPr="00000000">
        <w:rPr>
          <w:color w:val="000000"/>
          <w:rtl w:val="0"/>
        </w:rPr>
        <w:t xml:space="preserve">La mayoría de las personas comprenden que las vacunas pueden ayudar a proteger contra las enfermedades infecciosas, pero los beneficios no se detienen ahí. Además de ayudar a proteger a una persona, las vacunas también pueden ahorrar tiempo y dinero a las familias, proteger a las comunidades e incluso a las generaciones futuras.</w:t>
      </w:r>
    </w:p>
    <w:p w:rsidR="00000000" w:rsidDel="00000000" w:rsidP="00000000" w:rsidRDefault="00000000" w:rsidRPr="00000000" w14:paraId="00000008">
      <w:pPr>
        <w:spacing w:after="0" w:line="240" w:lineRule="auto"/>
        <w:rPr>
          <w:color w:val="000000"/>
        </w:rPr>
      </w:pPr>
      <w:r w:rsidDel="00000000" w:rsidR="00000000" w:rsidRPr="00000000">
        <w:rPr>
          <w:rtl w:val="0"/>
        </w:rPr>
      </w:r>
    </w:p>
    <w:p w:rsidR="00000000" w:rsidDel="00000000" w:rsidP="00000000" w:rsidRDefault="00000000" w:rsidRPr="00000000" w14:paraId="00000009">
      <w:pPr>
        <w:spacing w:after="0" w:line="240" w:lineRule="auto"/>
        <w:rPr>
          <w:b w:val="1"/>
          <w:color w:val="000000"/>
        </w:rPr>
      </w:pPr>
      <w:r w:rsidDel="00000000" w:rsidR="00000000" w:rsidRPr="00000000">
        <w:rPr>
          <w:b w:val="1"/>
          <w:color w:val="000000"/>
          <w:rtl w:val="0"/>
        </w:rPr>
        <w:t xml:space="preserve">3.- Como funcionan las vacunas? </w:t>
      </w:r>
    </w:p>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Las vacunas ayudan al sistema inmunológico de nuestro cuerpo a combatir las infecciones de manera más rápida y eficaz, protegiéndonos de enfermedades graves. La vacuna desencadena una respuesta de nuestro sistema inmunológico que ayuda a nuestro cuerpo a combatir y recordar el germen para que pueda atacarlo nuevamente si regresa. También ayuda a proporcionar inmunidad duradera.</w:t>
      </w:r>
    </w:p>
    <w:p w:rsidR="00000000" w:rsidDel="00000000" w:rsidP="00000000" w:rsidRDefault="00000000" w:rsidRPr="00000000" w14:paraId="0000000B">
      <w:pPr>
        <w:spacing w:after="0" w:line="240" w:lineRule="auto"/>
        <w:rPr>
          <w:color w:val="000000"/>
        </w:rPr>
      </w:pPr>
      <w:r w:rsidDel="00000000" w:rsidR="00000000" w:rsidRPr="00000000">
        <w:rPr>
          <w:rtl w:val="0"/>
        </w:rPr>
      </w:r>
    </w:p>
    <w:p w:rsidR="00000000" w:rsidDel="00000000" w:rsidP="00000000" w:rsidRDefault="00000000" w:rsidRPr="00000000" w14:paraId="0000000C">
      <w:pPr>
        <w:spacing w:after="0" w:line="240" w:lineRule="auto"/>
        <w:rPr>
          <w:b w:val="1"/>
          <w:color w:val="000000"/>
        </w:rPr>
      </w:pPr>
      <w:r w:rsidDel="00000000" w:rsidR="00000000" w:rsidRPr="00000000">
        <w:rPr>
          <w:b w:val="1"/>
          <w:color w:val="000000"/>
          <w:rtl w:val="0"/>
        </w:rPr>
        <w:t xml:space="preserve">4.- información general acerca de las vacunas: </w:t>
      </w:r>
    </w:p>
    <w:p w:rsidR="00000000" w:rsidDel="00000000" w:rsidP="00000000" w:rsidRDefault="00000000" w:rsidRPr="00000000" w14:paraId="0000000D">
      <w:pPr>
        <w:numPr>
          <w:ilvl w:val="0"/>
          <w:numId w:val="1"/>
        </w:numPr>
        <w:spacing w:after="0" w:line="240" w:lineRule="auto"/>
        <w:ind w:left="720" w:hanging="360"/>
        <w:rPr>
          <w:color w:val="000000"/>
        </w:rPr>
      </w:pPr>
      <w:r w:rsidDel="00000000" w:rsidR="00000000" w:rsidRPr="00000000">
        <w:rPr>
          <w:color w:val="000000"/>
          <w:rtl w:val="0"/>
        </w:rPr>
        <w:t xml:space="preserve">Las pruebas, el tratamiento y las vacunas contra COVID-19 son gratis. Usted no tiene que pagar. Un programa federal paga por los servicios relacionado con COVID-19 para cualquier persona que no tenga seguro médico.</w:t>
      </w:r>
    </w:p>
    <w:p w:rsidR="00000000" w:rsidDel="00000000" w:rsidP="00000000" w:rsidRDefault="00000000" w:rsidRPr="00000000" w14:paraId="0000000E">
      <w:pPr>
        <w:numPr>
          <w:ilvl w:val="0"/>
          <w:numId w:val="1"/>
        </w:numPr>
        <w:spacing w:after="0" w:line="240" w:lineRule="auto"/>
        <w:ind w:left="720" w:hanging="360"/>
        <w:rPr>
          <w:color w:val="000000"/>
        </w:rPr>
      </w:pPr>
      <w:r w:rsidDel="00000000" w:rsidR="00000000" w:rsidRPr="00000000">
        <w:rPr>
          <w:color w:val="000000"/>
          <w:rtl w:val="0"/>
        </w:rPr>
        <w:t xml:space="preserve">Usted no necesita una identificación para recibir servicios de COVID-19 gratis. Algunos lugares de vacunación pueden pedir una identificación u otra información, pero usted no tiene que dársela.</w:t>
      </w:r>
    </w:p>
    <w:p w:rsidR="00000000" w:rsidDel="00000000" w:rsidP="00000000" w:rsidRDefault="00000000" w:rsidRPr="00000000" w14:paraId="0000000F">
      <w:pPr>
        <w:numPr>
          <w:ilvl w:val="0"/>
          <w:numId w:val="1"/>
        </w:numPr>
        <w:spacing w:after="0" w:line="240" w:lineRule="auto"/>
        <w:ind w:left="720" w:hanging="360"/>
        <w:rPr>
          <w:color w:val="000000"/>
        </w:rPr>
      </w:pPr>
      <w:r w:rsidDel="00000000" w:rsidR="00000000" w:rsidRPr="00000000">
        <w:rPr>
          <w:color w:val="000000"/>
          <w:rtl w:val="0"/>
        </w:rPr>
        <w:t xml:space="preserve">Todos son elegibles para los servicios de COVID-19, sin importar su estado migratorio.</w:t>
      </w:r>
    </w:p>
    <w:p w:rsidR="00000000" w:rsidDel="00000000" w:rsidP="00000000" w:rsidRDefault="00000000" w:rsidRPr="00000000" w14:paraId="00000010">
      <w:pPr>
        <w:numPr>
          <w:ilvl w:val="0"/>
          <w:numId w:val="1"/>
        </w:numPr>
        <w:spacing w:after="0" w:line="240" w:lineRule="auto"/>
        <w:ind w:left="720" w:hanging="360"/>
        <w:rPr>
          <w:color w:val="000000"/>
        </w:rPr>
      </w:pPr>
      <w:r w:rsidDel="00000000" w:rsidR="00000000" w:rsidRPr="00000000">
        <w:rPr>
          <w:color w:val="000000"/>
          <w:rtl w:val="0"/>
        </w:rPr>
        <w:t xml:space="preserve">El gobierno federal paga las pruebas, el tratamiento y/o las vacunas. Algunos lugares de vacunación pueden pedir por su seguro médico o un pago. Recuerde que, si no tiene seguro, no hay ningún cargo. Si tiene seguro, es posible que le cobren a su compañía de seguros, pero usted no tiene que pagar. Si usted no tiene seguro y recibe una factura por la prueba o el tratamiento de COVID19, pídale a su proveedor que le facture al Programa para personas sin seguro de HRSA COVID-19.</w:t>
      </w:r>
    </w:p>
    <w:p w:rsidR="00000000" w:rsidDel="00000000" w:rsidP="00000000" w:rsidRDefault="00000000" w:rsidRPr="00000000" w14:paraId="00000011">
      <w:pPr>
        <w:numPr>
          <w:ilvl w:val="0"/>
          <w:numId w:val="1"/>
        </w:numPr>
        <w:spacing w:after="0" w:line="240" w:lineRule="auto"/>
        <w:ind w:left="720" w:hanging="360"/>
        <w:rPr>
          <w:color w:val="000000"/>
        </w:rPr>
      </w:pPr>
      <w:r w:rsidDel="00000000" w:rsidR="00000000" w:rsidRPr="00000000">
        <w:rPr>
          <w:color w:val="000000"/>
          <w:rtl w:val="0"/>
        </w:rPr>
        <w:t xml:space="preserve">Usted no necesita una dirección particular, número de teléfono o de seguro social para recibir estos servicios gratis de COVID-19. Es posible que en algunos lugares le pidan información para brindarle un mejor servicio y ponerse en contacto con las personas para obtener su segunda vacuna, pero no es necesario que se los proporcione a menos que usted lo desee.</w:t>
      </w:r>
    </w:p>
    <w:p w:rsidR="00000000" w:rsidDel="00000000" w:rsidP="00000000" w:rsidRDefault="00000000" w:rsidRPr="00000000" w14:paraId="00000012">
      <w:pPr>
        <w:numPr>
          <w:ilvl w:val="0"/>
          <w:numId w:val="1"/>
        </w:numPr>
        <w:spacing w:after="0" w:line="240" w:lineRule="auto"/>
        <w:ind w:left="720" w:hanging="360"/>
        <w:rPr>
          <w:color w:val="000000"/>
        </w:rPr>
      </w:pPr>
      <w:r w:rsidDel="00000000" w:rsidR="00000000" w:rsidRPr="00000000">
        <w:rPr>
          <w:color w:val="000000"/>
          <w:rtl w:val="0"/>
        </w:rPr>
        <w:t xml:space="preserve">Si usted tiene problemas de movilidad: Todos los lugares de vacunación están respaldados por el estado y tienen que brindar apoyo de accesibilidad, como rampas para sillas de ruedas o pasamanos, en estos lugares. Si usted necesita ayuda, avísele al personal cuando llegue. </w:t>
      </w:r>
    </w:p>
    <w:p w:rsidR="00000000" w:rsidDel="00000000" w:rsidP="00000000" w:rsidRDefault="00000000" w:rsidRPr="00000000" w14:paraId="00000013">
      <w:pPr>
        <w:numPr>
          <w:ilvl w:val="0"/>
          <w:numId w:val="1"/>
        </w:numPr>
        <w:spacing w:after="0" w:line="240" w:lineRule="auto"/>
        <w:ind w:left="720" w:hanging="360"/>
        <w:rPr>
          <w:color w:val="000000"/>
        </w:rPr>
      </w:pPr>
      <w:r w:rsidDel="00000000" w:rsidR="00000000" w:rsidRPr="00000000">
        <w:rPr>
          <w:color w:val="000000"/>
          <w:rtl w:val="0"/>
        </w:rPr>
        <w:t xml:space="preserve">Si usted no habla inglés: Los servicios de intérpretes y de traducción varían según el lugar de vacunación. Comuníquese con el lugar antes de ir o traiga a alguien que hable inglés. </w:t>
      </w:r>
    </w:p>
    <w:p w:rsidR="00000000" w:rsidDel="00000000" w:rsidP="00000000" w:rsidRDefault="00000000" w:rsidRPr="00000000" w14:paraId="00000014">
      <w:pPr>
        <w:numPr>
          <w:ilvl w:val="0"/>
          <w:numId w:val="1"/>
        </w:numPr>
        <w:spacing w:after="0" w:line="240" w:lineRule="auto"/>
        <w:ind w:left="720" w:hanging="360"/>
        <w:rPr>
          <w:color w:val="000000"/>
        </w:rPr>
      </w:pPr>
      <w:r w:rsidDel="00000000" w:rsidR="00000000" w:rsidRPr="00000000">
        <w:rPr>
          <w:color w:val="000000"/>
          <w:rtl w:val="0"/>
        </w:rPr>
        <w:t xml:space="preserve">¿Es necesario vivir en el estado donde se realizará la prueba o vacunará? Los requisitos para losservicios COVID-19 varían según el estado. En muchos estados, no es necesario ser residente del estado para recibir la vacuna, pero cada estado es diferente. Pregunte a su sitio antes de ir o cuando llegue.</w:t>
      </w:r>
    </w:p>
    <w:p w:rsidR="00000000" w:rsidDel="00000000" w:rsidP="00000000" w:rsidRDefault="00000000" w:rsidRPr="00000000" w14:paraId="00000015">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16">
      <w:pPr>
        <w:spacing w:after="0" w:line="240" w:lineRule="auto"/>
        <w:rPr>
          <w:b w:val="1"/>
          <w:color w:val="000000"/>
        </w:rPr>
      </w:pPr>
      <w:r w:rsidDel="00000000" w:rsidR="00000000" w:rsidRPr="00000000">
        <w:rPr>
          <w:b w:val="1"/>
          <w:color w:val="000000"/>
          <w:rtl w:val="0"/>
        </w:rPr>
        <w:t xml:space="preserve">5.- información errónea acerca del COVID-19:</w:t>
      </w:r>
    </w:p>
    <w:p w:rsidR="00000000" w:rsidDel="00000000" w:rsidP="00000000" w:rsidRDefault="00000000" w:rsidRPr="00000000" w14:paraId="00000017">
      <w:pPr>
        <w:numPr>
          <w:ilvl w:val="0"/>
          <w:numId w:val="2"/>
        </w:numPr>
        <w:spacing w:after="0" w:line="240" w:lineRule="auto"/>
        <w:ind w:left="720" w:hanging="360"/>
        <w:rPr>
          <w:color w:val="000000"/>
        </w:rPr>
      </w:pPr>
      <w:r w:rsidDel="00000000" w:rsidR="00000000" w:rsidRPr="00000000">
        <w:rPr>
          <w:color w:val="000000"/>
          <w:rtl w:val="0"/>
        </w:rPr>
        <w:t xml:space="preserve">Identifique la información errónea que esta causando inquietudes en la comunidad</w:t>
      </w:r>
    </w:p>
    <w:p w:rsidR="00000000" w:rsidDel="00000000" w:rsidP="00000000" w:rsidRDefault="00000000" w:rsidRPr="00000000" w14:paraId="00000018">
      <w:pPr>
        <w:numPr>
          <w:ilvl w:val="0"/>
          <w:numId w:val="2"/>
        </w:numPr>
        <w:spacing w:after="0" w:line="240" w:lineRule="auto"/>
        <w:ind w:left="720" w:hanging="360"/>
        <w:rPr>
          <w:color w:val="000000"/>
        </w:rPr>
      </w:pPr>
      <w:r w:rsidDel="00000000" w:rsidR="00000000" w:rsidRPr="00000000">
        <w:rPr>
          <w:color w:val="000000"/>
          <w:rtl w:val="0"/>
        </w:rPr>
        <w:t xml:space="preserve">Elija que información errónea hay que corregir</w:t>
      </w:r>
    </w:p>
    <w:p w:rsidR="00000000" w:rsidDel="00000000" w:rsidP="00000000" w:rsidRDefault="00000000" w:rsidRPr="00000000" w14:paraId="00000019">
      <w:pPr>
        <w:numPr>
          <w:ilvl w:val="0"/>
          <w:numId w:val="2"/>
        </w:numPr>
        <w:spacing w:after="0" w:line="240" w:lineRule="auto"/>
        <w:ind w:left="720" w:hanging="360"/>
        <w:rPr>
          <w:color w:val="000000"/>
        </w:rPr>
      </w:pPr>
      <w:r w:rsidDel="00000000" w:rsidR="00000000" w:rsidRPr="00000000">
        <w:rPr>
          <w:color w:val="000000"/>
          <w:rtl w:val="0"/>
        </w:rPr>
        <w:t xml:space="preserve">Reconozca que todos podemos cometer errores y empatice. No presuponga; haga preguntas para comprender los valores, inquietudes y experiencias previas de la comunidad. Al responder a la información errónea, considere la posibilidad de reconocer, afirmar y empatizar con el punto de vista de la persona (o de la audiencia), y luego ofrezca una corrección basada en datos científicos. Este es un ejemplo: “Entiendo lo que acabas de decir y por qué podrías tener inquietudes. Debido a cosas que sucedieron en el pasado, muchas personas piensan igualmente que usted. Queremos tomar decisiones con las que nos sintamos cómodos y evitar la confianza ciega del pasado. Así que cuando los médicos digan que todo está bien, aún hay que hacer preguntas. Al final, tomaremos una decisión informada para el bien de nuestros seres queridos, de nosotros mismos y de nuestra comunidad. Estos son los datos de personas que conocemos y en las que confiamos...”.</w:t>
      </w:r>
    </w:p>
    <w:p w:rsidR="00000000" w:rsidDel="00000000" w:rsidP="00000000" w:rsidRDefault="00000000" w:rsidRPr="00000000" w14:paraId="0000001A">
      <w:pPr>
        <w:numPr>
          <w:ilvl w:val="0"/>
          <w:numId w:val="2"/>
        </w:numPr>
        <w:spacing w:after="0" w:line="240" w:lineRule="auto"/>
        <w:ind w:left="720" w:hanging="360"/>
        <w:rPr>
          <w:color w:val="000000"/>
        </w:rPr>
      </w:pPr>
      <w:r w:rsidDel="00000000" w:rsidR="00000000" w:rsidRPr="00000000">
        <w:rPr>
          <w:color w:val="000000"/>
          <w:rtl w:val="0"/>
        </w:rPr>
        <w:t xml:space="preserve">Desacredite información errónea y explique lo que es correcto. Utilice un lenguaje sencillo; tome en cuenta el nivel de educación y la forma de expresarse y de hablar de la comunidad. Corrija la información errónea compartiendo información basada en datos y utilizando estrategias convincentes para respaldar los datos. Por ejemplo: “Se nota que se preocupa por su comunidad y quiere tomar una buena decisión para usted, sus seres queridos y su comunidad. Esto es lo que dicen las personas que conocemos y en las que confiamos sobre los datos que tienen que ver con esta decisión...”</w:t>
      </w:r>
    </w:p>
    <w:p w:rsidR="00000000" w:rsidDel="00000000" w:rsidP="00000000" w:rsidRDefault="00000000" w:rsidRPr="00000000" w14:paraId="0000001B">
      <w:pPr>
        <w:numPr>
          <w:ilvl w:val="0"/>
          <w:numId w:val="2"/>
        </w:numPr>
        <w:spacing w:after="0" w:line="240" w:lineRule="auto"/>
        <w:ind w:left="720" w:hanging="360"/>
        <w:rPr>
          <w:color w:val="000000"/>
        </w:rPr>
      </w:pPr>
      <w:r w:rsidDel="00000000" w:rsidR="00000000" w:rsidRPr="00000000">
        <w:rPr>
          <w:color w:val="000000"/>
          <w:rtl w:val="0"/>
        </w:rPr>
        <w:t xml:space="preserve">Evite repetir la información errónea. En cambio, enfatice la información correcta. </w:t>
      </w:r>
    </w:p>
    <w:p w:rsidR="00000000" w:rsidDel="00000000" w:rsidP="00000000" w:rsidRDefault="00000000" w:rsidRPr="00000000" w14:paraId="0000001C">
      <w:pPr>
        <w:numPr>
          <w:ilvl w:val="0"/>
          <w:numId w:val="2"/>
        </w:numPr>
        <w:spacing w:after="0" w:line="240" w:lineRule="auto"/>
        <w:ind w:left="720" w:hanging="360"/>
        <w:rPr>
          <w:color w:val="000000"/>
        </w:rPr>
      </w:pPr>
      <w:r w:rsidDel="00000000" w:rsidR="00000000" w:rsidRPr="00000000">
        <w:rPr>
          <w:color w:val="000000"/>
          <w:rtl w:val="0"/>
        </w:rPr>
        <w:t xml:space="preserve">Apóyese en los miembros creíbles de la comunidad y en los mensajeros de confianza que estén dispuestos a contar sus historias, pero no las exagere ni suavice las reacciones físicas, reales y comunes. Por ejemplo: “Me fue bien con la vacuna, pero tuve dolor en el hombro durante uno o dos días. En general, sentí alivio de recibir la primera dosis de la vacuna y estar tomando los pasos para lograr la inmunidad.”</w:t>
      </w:r>
    </w:p>
    <w:p w:rsidR="00000000" w:rsidDel="00000000" w:rsidP="00000000" w:rsidRDefault="00000000" w:rsidRPr="00000000" w14:paraId="0000001D">
      <w:pPr>
        <w:numPr>
          <w:ilvl w:val="0"/>
          <w:numId w:val="2"/>
        </w:numPr>
        <w:spacing w:after="0" w:line="240" w:lineRule="auto"/>
        <w:ind w:left="720" w:hanging="360"/>
        <w:rPr>
          <w:color w:val="000000"/>
        </w:rPr>
      </w:pPr>
      <w:r w:rsidDel="00000000" w:rsidR="00000000" w:rsidRPr="00000000">
        <w:rPr>
          <w:color w:val="000000"/>
          <w:rtl w:val="0"/>
        </w:rPr>
        <w:t xml:space="preserve">Las afirmaciones precisas se pueden interpretar de manera engañosa. Los mismos hechos tienen más de una explicación. No cambie los hechos; desafíe la historia que explica los hechos. Este es un ejemplo de una respuesta a una inquietud en la que la gente teme que los políticos hicieron que las vacunas se aprueben apresuradamente para quedar bien: “Es cierto que las vacunas se desarrollaron rápidamente. Los científicos y los comités independientes que revisaron el desarrollo de las vacunas lo hicieron con mucho cuidado y rapidez para decidir si se justificaba la aprobación para detener la propagación del COVID19 lo más pronto posible y salvar vidas.”</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pos="4680"/>
        <w:tab w:val="right" w:pos="9360"/>
      </w:tabs>
      <w:spacing w:after="0" w:line="240" w:lineRule="auto"/>
      <w:rPr>
        <w:color w:val="ffffff"/>
      </w:rPr>
    </w:pPr>
    <w:r w:rsidDel="00000000" w:rsidR="00000000" w:rsidRPr="00000000">
      <w:rPr>
        <w:color w:val="ffffff"/>
        <w:rtl w:val="0"/>
      </w:rPr>
      <w:t xml:space="preserve">Contact Person: Kenia Zuniga (</w:t>
    </w:r>
    <w:hyperlink r:id="rId1">
      <w:r w:rsidDel="00000000" w:rsidR="00000000" w:rsidRPr="00000000">
        <w:rPr>
          <w:color w:val="ffffff"/>
          <w:u w:val="single"/>
          <w:rtl w:val="0"/>
        </w:rPr>
        <w:t xml:space="preserve">kenia@azchow.org</w:t>
      </w:r>
    </w:hyperlink>
    <w:r w:rsidDel="00000000" w:rsidR="00000000" w:rsidRPr="00000000">
      <w:rPr>
        <w:color w:val="ffffff"/>
        <w:rtl w:val="0"/>
      </w:rPr>
      <w:t xml:space="preserve">), Shawna Green (</w:t>
    </w:r>
    <w:hyperlink r:id="rId2">
      <w:r w:rsidDel="00000000" w:rsidR="00000000" w:rsidRPr="00000000">
        <w:rPr>
          <w:color w:val="ffffff"/>
          <w:u w:val="single"/>
          <w:rtl w:val="0"/>
        </w:rPr>
        <w:t xml:space="preserve">shawna.green@commspirit.org</w:t>
      </w:r>
    </w:hyperlink>
    <w:r w:rsidDel="00000000" w:rsidR="00000000" w:rsidRPr="00000000">
      <w:rPr>
        <w:color w:val="ffffff"/>
        <w:rtl w:val="0"/>
      </w:rPr>
      <w:t xml:space="preserve">), Farhia Omar (</w:t>
    </w:r>
    <w:hyperlink r:id="rId3">
      <w:r w:rsidDel="00000000" w:rsidR="00000000" w:rsidRPr="00000000">
        <w:rPr>
          <w:color w:val="ffffff"/>
          <w:u w:val="single"/>
          <w:rtl w:val="0"/>
        </w:rPr>
        <w:t xml:space="preserve">Omar.Farhia@mayo.edu</w:t>
      </w:r>
    </w:hyperlink>
    <w:r w:rsidDel="00000000" w:rsidR="00000000" w:rsidRPr="00000000">
      <w:rPr>
        <w:color w:val="ffffff"/>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pos="4680"/>
        <w:tab w:val="right" w:pos="9360"/>
      </w:tabs>
      <w:spacing w:after="0" w:line="240" w:lineRule="auto"/>
      <w:jc w:val="right"/>
      <w:rPr>
        <w:b w:val="1"/>
        <w:color w:val="ffffff"/>
        <w:sz w:val="24"/>
        <w:szCs w:val="24"/>
      </w:rPr>
    </w:pPr>
    <w:r w:rsidDel="00000000" w:rsidR="00000000" w:rsidRPr="00000000">
      <w:rPr>
        <w:b w:val="1"/>
        <w:color w:val="ffffff"/>
        <w:sz w:val="24"/>
        <w:szCs w:val="24"/>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772400" cy="10045827"/>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400" cy="10045827"/>
                  </a:xfrm>
                  <a:prstGeom prst="rect"/>
                  <a:ln/>
                </pic:spPr>
              </pic:pic>
            </a:graphicData>
          </a:graphic>
        </wp:anchor>
      </w:drawing>
    </w:r>
    <w:r w:rsidDel="00000000" w:rsidR="00000000" w:rsidRPr="00000000">
      <w:rPr>
        <w:b w:val="1"/>
        <w:color w:val="ffffff"/>
        <w:sz w:val="24"/>
        <w:szCs w:val="24"/>
        <w:rtl w:val="0"/>
      </w:rPr>
      <w:t xml:space="preserve">Arizona Community Engagement Alliance (AZ CEAL) </w:t>
    </w:r>
  </w:p>
  <w:p w:rsidR="00000000" w:rsidDel="00000000" w:rsidP="00000000" w:rsidRDefault="00000000" w:rsidRPr="00000000" w14:paraId="00000028">
    <w:pPr>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color w:val="ffffff"/>
        <w:sz w:val="24"/>
        <w:szCs w:val="24"/>
        <w:rtl w:val="0"/>
      </w:rPr>
      <w:t xml:space="preserve">Temas para radio/televisión</w:t>
    </w:r>
    <w:r w:rsidDel="00000000" w:rsidR="00000000" w:rsidRPr="00000000">
      <w:rPr>
        <w:color w:val="ffffff"/>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680"/>
        <w:tab w:val="right" w:pos="9360"/>
      </w:tabs>
      <w:spacing w:after="0" w:line="240" w:lineRule="auto"/>
      <w:jc w:val="right"/>
      <w:rPr>
        <w:b w:val="1"/>
        <w:color w:val="ffffff"/>
        <w:sz w:val="24"/>
        <w:szCs w:val="24"/>
      </w:rPr>
    </w:pPr>
    <w:r w:rsidDel="00000000" w:rsidR="00000000" w:rsidRPr="00000000">
      <w:rPr>
        <w:b w:val="1"/>
        <w:color w:val="ffffff"/>
        <w:sz w:val="24"/>
        <w:szCs w:val="24"/>
        <w:rtl w:val="0"/>
      </w:rPr>
      <w:t xml:space="preserve">Arizona Community Engagement Alliance (AZ CEAL) </w:t>
    </w:r>
  </w:p>
  <w:p w:rsidR="00000000" w:rsidDel="00000000" w:rsidP="00000000" w:rsidRDefault="00000000" w:rsidRPr="00000000" w14:paraId="0000002B">
    <w:pPr>
      <w:jc w:val="right"/>
      <w:rPr>
        <w:color w:val="ffffff"/>
      </w:rPr>
    </w:pPr>
    <w:r w:rsidDel="00000000" w:rsidR="00000000" w:rsidRPr="00000000">
      <w:rPr>
        <w:b w:val="1"/>
        <w:color w:val="ffffff"/>
        <w:sz w:val="24"/>
        <w:szCs w:val="24"/>
        <w:rtl w:val="0"/>
      </w:rPr>
      <w:t xml:space="preserve">Temas para radio/televisión</w:t>
    </w:r>
    <w:r w:rsidDel="00000000" w:rsidR="00000000" w:rsidRPr="00000000">
      <w:rPr>
        <w:color w:val="ffffff"/>
        <w:rtl w:val="0"/>
      </w:rPr>
      <w:t xml:space="preserve">  </w:t>
    </w: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741899"/>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55302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53025"/>
  </w:style>
  <w:style w:type="paragraph" w:styleId="Footer">
    <w:name w:val="footer"/>
    <w:basedOn w:val="Normal"/>
    <w:link w:val="FooterChar"/>
    <w:uiPriority w:val="99"/>
    <w:unhideWhenUsed w:val="1"/>
    <w:rsid w:val="0055302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5302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kenia@azchow.org" TargetMode="External"/><Relationship Id="rId2" Type="http://schemas.openxmlformats.org/officeDocument/2006/relationships/hyperlink" Target="mailto:shawna.green@commspirit.org" TargetMode="External"/><Relationship Id="rId3" Type="http://schemas.openxmlformats.org/officeDocument/2006/relationships/hyperlink" Target="mailto:Omar.Farhia@may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zsrajKjA5ZICaONuv287if5sSw==">AMUW2mUvVECBikUnrZNOsTQS0nDRdNYVu3/W+cQIKjqMQO7n1OSnavdfkH6+nKEmlztQlgThrDP5hSJlyKSpphOgI3bgWV2jCDA14vAx54llqXTxXULZ415BM4xPQqEsGijHlILvsTiNm9kfdwtN+xmKLHraNKSnjk3Io9iyVKtWuLjrYNTMHjiVa5R1DtkUvpTpcmS2TN3VrcS0BbnUWQtIJ0Kp7q3xZtq9ebNe1yJ0EEg/NN7U2Wh7/mZzlVMV43t3Dc0THWvqwioP7b2WM/WtfJJLw+Iy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2021-08-05T16:13:00Z</dcterms:created>
  <dc:creator>kenia@azchow.org</dc:creator>
</cp:coreProperties>
</file>