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2E" w:rsidRPr="008E4561" w:rsidRDefault="00905A9B">
      <w:pPr>
        <w:spacing w:after="0"/>
        <w:jc w:val="center"/>
        <w:rPr>
          <w:rFonts w:ascii="Arial" w:hAnsi="Arial" w:cs="Arial"/>
          <w:b/>
          <w:sz w:val="32"/>
          <w:szCs w:val="32"/>
        </w:rPr>
      </w:pPr>
      <w:bookmarkStart w:id="0" w:name="_GoBack"/>
      <w:bookmarkEnd w:id="0"/>
      <w:r w:rsidRPr="008E4561">
        <w:rPr>
          <w:rFonts w:ascii="Arial" w:hAnsi="Arial" w:cs="Arial"/>
          <w:b/>
          <w:sz w:val="32"/>
          <w:szCs w:val="32"/>
        </w:rPr>
        <w:t>2014 LEGISLATIVE WRAP-UP</w:t>
      </w:r>
    </w:p>
    <w:p w:rsidR="00FD032E" w:rsidRPr="00617AA3" w:rsidRDefault="00FD032E">
      <w:pPr>
        <w:spacing w:after="0"/>
        <w:rPr>
          <w:rFonts w:ascii="Arial" w:hAnsi="Arial" w:cs="Arial"/>
        </w:rPr>
      </w:pPr>
    </w:p>
    <w:p w:rsidR="00FD032E" w:rsidRPr="00617AA3" w:rsidRDefault="00905A9B">
      <w:pPr>
        <w:spacing w:after="0"/>
        <w:rPr>
          <w:rFonts w:ascii="Arial" w:hAnsi="Arial" w:cs="Arial"/>
        </w:rPr>
      </w:pPr>
      <w:r w:rsidRPr="00617AA3">
        <w:rPr>
          <w:rFonts w:ascii="Arial" w:hAnsi="Arial" w:cs="Arial"/>
        </w:rPr>
        <w:t>The 2014 legislative session began on January 13, 2014. After a four-week, public, and contentious budget negotiation the Legislature passed and transmitted the FY 15 state budget to Governor Brewer on April 8th and she signed the package, with a few line-item vetoes, on April 11th. The general appropriations act (HB 2703) and capital outlay bill (HB 2709) are effective July 1, 2014. With budget work complete, the Legislature then turned to the numerous pieces of legislation awaiting action.</w:t>
      </w:r>
    </w:p>
    <w:p w:rsidR="00FD032E" w:rsidRPr="00617AA3" w:rsidRDefault="00FD032E">
      <w:pPr>
        <w:spacing w:after="0"/>
        <w:rPr>
          <w:rFonts w:ascii="Arial" w:hAnsi="Arial" w:cs="Arial"/>
        </w:rPr>
      </w:pPr>
    </w:p>
    <w:p w:rsidR="00FD032E" w:rsidRPr="00617AA3" w:rsidRDefault="00905A9B">
      <w:pPr>
        <w:spacing w:after="0"/>
        <w:rPr>
          <w:rFonts w:ascii="Arial" w:hAnsi="Arial" w:cs="Arial"/>
        </w:rPr>
      </w:pPr>
      <w:r w:rsidRPr="00617AA3">
        <w:rPr>
          <w:rFonts w:ascii="Arial" w:hAnsi="Arial" w:cs="Arial"/>
        </w:rPr>
        <w:t xml:space="preserve">There were 1,205 bills and 113 memorials and resolutions introduced in </w:t>
      </w:r>
      <w:r w:rsidR="000776C8" w:rsidRPr="00617AA3">
        <w:rPr>
          <w:rFonts w:ascii="Arial" w:hAnsi="Arial" w:cs="Arial"/>
        </w:rPr>
        <w:t xml:space="preserve">the 2014 legislative session – a </w:t>
      </w:r>
      <w:r w:rsidRPr="00617AA3">
        <w:rPr>
          <w:rFonts w:ascii="Arial" w:hAnsi="Arial" w:cs="Arial"/>
        </w:rPr>
        <w:t xml:space="preserve">slight increase </w:t>
      </w:r>
      <w:r w:rsidR="00A645EF">
        <w:rPr>
          <w:rFonts w:ascii="Arial" w:hAnsi="Arial" w:cs="Arial"/>
        </w:rPr>
        <w:t>from last year. Of these, 278</w:t>
      </w:r>
      <w:r w:rsidRPr="00617AA3">
        <w:rPr>
          <w:rFonts w:ascii="Arial" w:hAnsi="Arial" w:cs="Arial"/>
        </w:rPr>
        <w:t xml:space="preserve"> were signed by the Governor and enacted into law</w:t>
      </w:r>
      <w:r w:rsidR="00A645EF">
        <w:rPr>
          <w:rFonts w:ascii="Arial" w:hAnsi="Arial" w:cs="Arial"/>
        </w:rPr>
        <w:t xml:space="preserve"> with various effective dates, 25</w:t>
      </w:r>
      <w:r w:rsidRPr="00617AA3">
        <w:rPr>
          <w:rFonts w:ascii="Arial" w:hAnsi="Arial" w:cs="Arial"/>
        </w:rPr>
        <w:t xml:space="preserve"> bil</w:t>
      </w:r>
      <w:r w:rsidR="00A645EF">
        <w:rPr>
          <w:rFonts w:ascii="Arial" w:hAnsi="Arial" w:cs="Arial"/>
        </w:rPr>
        <w:t xml:space="preserve">ls were vetoed and 35 </w:t>
      </w:r>
      <w:r w:rsidR="002A07E9" w:rsidRPr="00617AA3">
        <w:rPr>
          <w:rFonts w:ascii="Arial" w:hAnsi="Arial" w:cs="Arial"/>
        </w:rPr>
        <w:t>resolutions/memorials</w:t>
      </w:r>
      <w:r w:rsidR="008001A1" w:rsidRPr="00617AA3">
        <w:rPr>
          <w:rFonts w:ascii="Arial" w:hAnsi="Arial" w:cs="Arial"/>
        </w:rPr>
        <w:t xml:space="preserve"> </w:t>
      </w:r>
      <w:r w:rsidRPr="00617AA3">
        <w:rPr>
          <w:rFonts w:ascii="Arial" w:hAnsi="Arial" w:cs="Arial"/>
        </w:rPr>
        <w:t xml:space="preserve">were filed with the Secretary of State. </w:t>
      </w:r>
    </w:p>
    <w:p w:rsidR="00FD032E" w:rsidRPr="00617AA3" w:rsidRDefault="00FD032E">
      <w:pPr>
        <w:spacing w:after="0"/>
        <w:rPr>
          <w:rFonts w:ascii="Arial" w:hAnsi="Arial" w:cs="Arial"/>
        </w:rPr>
      </w:pPr>
    </w:p>
    <w:p w:rsidR="00FD032E" w:rsidRPr="00617AA3" w:rsidRDefault="00905A9B">
      <w:pPr>
        <w:spacing w:after="0"/>
        <w:rPr>
          <w:rFonts w:ascii="Arial" w:hAnsi="Arial" w:cs="Arial"/>
        </w:rPr>
      </w:pPr>
      <w:r w:rsidRPr="00617AA3">
        <w:rPr>
          <w:rFonts w:ascii="Arial" w:hAnsi="Arial" w:cs="Arial"/>
        </w:rPr>
        <w:t>This year’s session ended on April 24th, the</w:t>
      </w:r>
      <w:r w:rsidR="002A07E9" w:rsidRPr="00617AA3">
        <w:rPr>
          <w:rFonts w:ascii="Arial" w:hAnsi="Arial" w:cs="Arial"/>
        </w:rPr>
        <w:t xml:space="preserve"> 101st day and just one day passed</w:t>
      </w:r>
      <w:r w:rsidRPr="00617AA3">
        <w:rPr>
          <w:rFonts w:ascii="Arial" w:hAnsi="Arial" w:cs="Arial"/>
        </w:rPr>
        <w:t xml:space="preserve"> the targeted 100-day session. The general effective </w:t>
      </w:r>
      <w:r w:rsidR="008001A1" w:rsidRPr="00617AA3">
        <w:rPr>
          <w:rFonts w:ascii="Arial" w:hAnsi="Arial" w:cs="Arial"/>
        </w:rPr>
        <w:t>date for most bills is July 24</w:t>
      </w:r>
      <w:r w:rsidRPr="00617AA3">
        <w:rPr>
          <w:rFonts w:ascii="Arial" w:hAnsi="Arial" w:cs="Arial"/>
        </w:rPr>
        <w:t>, 2014.</w:t>
      </w:r>
    </w:p>
    <w:p w:rsidR="00FD032E" w:rsidRPr="00617AA3" w:rsidRDefault="00FD032E">
      <w:pPr>
        <w:spacing w:after="0"/>
        <w:rPr>
          <w:rFonts w:ascii="Arial" w:hAnsi="Arial" w:cs="Arial"/>
        </w:rPr>
      </w:pPr>
    </w:p>
    <w:p w:rsidR="00FD032E" w:rsidRPr="008E4561" w:rsidRDefault="002A07E9" w:rsidP="002A07E9">
      <w:pPr>
        <w:spacing w:after="0"/>
        <w:jc w:val="center"/>
        <w:rPr>
          <w:rFonts w:ascii="Arial" w:hAnsi="Arial" w:cs="Arial"/>
          <w:b/>
          <w:sz w:val="28"/>
          <w:szCs w:val="28"/>
          <w:u w:val="single"/>
        </w:rPr>
      </w:pPr>
      <w:r w:rsidRPr="008E4561">
        <w:rPr>
          <w:rFonts w:ascii="Arial" w:hAnsi="Arial" w:cs="Arial"/>
          <w:b/>
          <w:sz w:val="28"/>
          <w:szCs w:val="28"/>
          <w:u w:val="single"/>
        </w:rPr>
        <w:t>FY15</w:t>
      </w:r>
      <w:r w:rsidR="00905A9B" w:rsidRPr="008E4561">
        <w:rPr>
          <w:rFonts w:ascii="Arial" w:hAnsi="Arial" w:cs="Arial"/>
          <w:b/>
          <w:sz w:val="28"/>
          <w:szCs w:val="28"/>
          <w:u w:val="single"/>
        </w:rPr>
        <w:t xml:space="preserve"> Budget Overview</w:t>
      </w:r>
    </w:p>
    <w:p w:rsidR="00FD032E" w:rsidRPr="00617AA3" w:rsidRDefault="00FD032E">
      <w:pPr>
        <w:spacing w:after="0"/>
        <w:rPr>
          <w:rFonts w:ascii="Arial" w:hAnsi="Arial" w:cs="Arial"/>
        </w:rPr>
      </w:pPr>
    </w:p>
    <w:p w:rsidR="00FD032E" w:rsidRPr="00617AA3" w:rsidRDefault="00905A9B">
      <w:pPr>
        <w:spacing w:after="0"/>
        <w:rPr>
          <w:rFonts w:ascii="Arial" w:hAnsi="Arial" w:cs="Arial"/>
        </w:rPr>
      </w:pPr>
      <w:r w:rsidRPr="00617AA3">
        <w:rPr>
          <w:rFonts w:ascii="Arial" w:hAnsi="Arial" w:cs="Arial"/>
        </w:rPr>
        <w:t>Highlights for the Arizona University System include:</w:t>
      </w:r>
    </w:p>
    <w:p w:rsidR="00FD032E" w:rsidRPr="00617AA3" w:rsidRDefault="00905A9B">
      <w:pPr>
        <w:pStyle w:val="ListParagraph"/>
        <w:numPr>
          <w:ilvl w:val="0"/>
          <w:numId w:val="5"/>
        </w:numPr>
        <w:spacing w:after="0"/>
        <w:rPr>
          <w:rFonts w:ascii="Arial" w:hAnsi="Arial" w:cs="Arial"/>
        </w:rPr>
      </w:pPr>
      <w:r w:rsidRPr="00617AA3">
        <w:rPr>
          <w:rFonts w:ascii="Arial" w:hAnsi="Arial" w:cs="Arial"/>
          <w:b/>
        </w:rPr>
        <w:t>Parity Close-Out</w:t>
      </w:r>
      <w:r w:rsidRPr="00617AA3">
        <w:rPr>
          <w:rFonts w:ascii="Arial" w:hAnsi="Arial" w:cs="Arial"/>
        </w:rPr>
        <w:t xml:space="preserve"> (state per student funding) - The universities sought and received an end to the parity funding issue two years ahead of schedule. Working with the Governor, NAU and ASU agreed to slightly smaller amounts</w:t>
      </w:r>
      <w:r w:rsidR="00A645EF">
        <w:rPr>
          <w:rFonts w:ascii="Arial" w:hAnsi="Arial" w:cs="Arial"/>
        </w:rPr>
        <w:t xml:space="preserve"> in order to achieve parity close-out </w:t>
      </w:r>
      <w:r w:rsidRPr="00617AA3">
        <w:rPr>
          <w:rFonts w:ascii="Arial" w:hAnsi="Arial" w:cs="Arial"/>
        </w:rPr>
        <w:t>in FY 15. The amounts applied to each universities base funding are as follows:</w:t>
      </w:r>
    </w:p>
    <w:p w:rsidR="00FD032E" w:rsidRPr="00617AA3" w:rsidRDefault="00905A9B">
      <w:pPr>
        <w:pStyle w:val="ListParagraph"/>
        <w:numPr>
          <w:ilvl w:val="1"/>
          <w:numId w:val="8"/>
        </w:numPr>
        <w:spacing w:after="0"/>
        <w:rPr>
          <w:rFonts w:ascii="Arial" w:hAnsi="Arial" w:cs="Arial"/>
        </w:rPr>
      </w:pPr>
      <w:r w:rsidRPr="00617AA3">
        <w:rPr>
          <w:rFonts w:ascii="Arial" w:hAnsi="Arial" w:cs="Arial"/>
        </w:rPr>
        <w:t>NAU - $5.9M</w:t>
      </w:r>
    </w:p>
    <w:p w:rsidR="00FD032E" w:rsidRPr="00617AA3" w:rsidRDefault="00905A9B">
      <w:pPr>
        <w:pStyle w:val="ListParagraph"/>
        <w:numPr>
          <w:ilvl w:val="1"/>
          <w:numId w:val="8"/>
        </w:numPr>
        <w:spacing w:after="0"/>
        <w:rPr>
          <w:rFonts w:ascii="Arial" w:hAnsi="Arial" w:cs="Arial"/>
        </w:rPr>
      </w:pPr>
      <w:r w:rsidRPr="00617AA3">
        <w:rPr>
          <w:rFonts w:ascii="Arial" w:hAnsi="Arial" w:cs="Arial"/>
        </w:rPr>
        <w:t xml:space="preserve">ASU - $21.5M </w:t>
      </w:r>
    </w:p>
    <w:p w:rsidR="00FD032E" w:rsidRPr="00617AA3" w:rsidRDefault="00905A9B">
      <w:pPr>
        <w:pStyle w:val="ListParagraph"/>
        <w:numPr>
          <w:ilvl w:val="0"/>
          <w:numId w:val="5"/>
        </w:numPr>
        <w:spacing w:after="0"/>
        <w:rPr>
          <w:rFonts w:ascii="Arial" w:hAnsi="Arial" w:cs="Arial"/>
          <w:b/>
        </w:rPr>
      </w:pPr>
      <w:r w:rsidRPr="00617AA3">
        <w:rPr>
          <w:rFonts w:ascii="Arial" w:hAnsi="Arial" w:cs="Arial"/>
          <w:b/>
        </w:rPr>
        <w:t xml:space="preserve">Additional University Funding </w:t>
      </w:r>
      <w:r w:rsidRPr="00617AA3">
        <w:rPr>
          <w:rFonts w:ascii="Arial" w:hAnsi="Arial" w:cs="Arial"/>
        </w:rPr>
        <w:t xml:space="preserve">- The Governor and Legislature provided additional FY 15 dollars to each </w:t>
      </w:r>
      <w:r w:rsidR="00A645EF" w:rsidRPr="00617AA3">
        <w:rPr>
          <w:rFonts w:ascii="Arial" w:hAnsi="Arial" w:cs="Arial"/>
        </w:rPr>
        <w:t>university</w:t>
      </w:r>
      <w:r w:rsidR="00A645EF">
        <w:rPr>
          <w:rFonts w:ascii="Arial" w:hAnsi="Arial" w:cs="Arial"/>
        </w:rPr>
        <w:t>’s base</w:t>
      </w:r>
      <w:r w:rsidRPr="00617AA3">
        <w:rPr>
          <w:rFonts w:ascii="Arial" w:hAnsi="Arial" w:cs="Arial"/>
        </w:rPr>
        <w:t>.</w:t>
      </w:r>
      <w:r w:rsidR="00A645EF">
        <w:rPr>
          <w:rFonts w:ascii="Arial" w:hAnsi="Arial" w:cs="Arial"/>
        </w:rPr>
        <w:t xml:space="preserve"> The Feed Bill also contains advanced appropriations for FY 16 and FY 17 in the same amounts. These</w:t>
      </w:r>
      <w:r w:rsidRPr="00617AA3">
        <w:rPr>
          <w:rFonts w:ascii="Arial" w:hAnsi="Arial" w:cs="Arial"/>
        </w:rPr>
        <w:t xml:space="preserve"> amounts are not associated with any e</w:t>
      </w:r>
      <w:r w:rsidR="00A645EF">
        <w:rPr>
          <w:rFonts w:ascii="Arial" w:hAnsi="Arial" w:cs="Arial"/>
        </w:rPr>
        <w:t>xisting funding model and are as follows</w:t>
      </w:r>
      <w:r w:rsidRPr="00617AA3">
        <w:rPr>
          <w:rFonts w:ascii="Arial" w:hAnsi="Arial" w:cs="Arial"/>
        </w:rPr>
        <w:t>:</w:t>
      </w:r>
    </w:p>
    <w:p w:rsidR="00FD032E" w:rsidRPr="00617AA3" w:rsidRDefault="00905A9B" w:rsidP="002A07E9">
      <w:pPr>
        <w:pStyle w:val="ListParagraph"/>
        <w:numPr>
          <w:ilvl w:val="1"/>
          <w:numId w:val="9"/>
        </w:numPr>
        <w:spacing w:after="0"/>
        <w:rPr>
          <w:rFonts w:ascii="Arial" w:hAnsi="Arial" w:cs="Arial"/>
        </w:rPr>
      </w:pPr>
      <w:r w:rsidRPr="00617AA3">
        <w:rPr>
          <w:rFonts w:ascii="Arial" w:hAnsi="Arial" w:cs="Arial"/>
        </w:rPr>
        <w:t>NAU - $500K</w:t>
      </w:r>
    </w:p>
    <w:p w:rsidR="00FD032E" w:rsidRPr="00617AA3" w:rsidRDefault="00905A9B" w:rsidP="002A07E9">
      <w:pPr>
        <w:pStyle w:val="ListParagraph"/>
        <w:numPr>
          <w:ilvl w:val="1"/>
          <w:numId w:val="9"/>
        </w:numPr>
        <w:spacing w:after="0"/>
        <w:rPr>
          <w:rFonts w:ascii="Arial" w:hAnsi="Arial" w:cs="Arial"/>
        </w:rPr>
      </w:pPr>
      <w:r w:rsidRPr="00617AA3">
        <w:rPr>
          <w:rFonts w:ascii="Arial" w:hAnsi="Arial" w:cs="Arial"/>
        </w:rPr>
        <w:t>ASU - $2M</w:t>
      </w:r>
    </w:p>
    <w:p w:rsidR="00FD032E" w:rsidRPr="00617AA3" w:rsidRDefault="00905A9B" w:rsidP="002A07E9">
      <w:pPr>
        <w:pStyle w:val="ListParagraph"/>
        <w:numPr>
          <w:ilvl w:val="1"/>
          <w:numId w:val="9"/>
        </w:numPr>
        <w:spacing w:after="0"/>
        <w:rPr>
          <w:rFonts w:ascii="Arial" w:hAnsi="Arial" w:cs="Arial"/>
        </w:rPr>
      </w:pPr>
      <w:r w:rsidRPr="00617AA3">
        <w:rPr>
          <w:rFonts w:ascii="Arial" w:hAnsi="Arial" w:cs="Arial"/>
        </w:rPr>
        <w:t>UA - $2M</w:t>
      </w:r>
    </w:p>
    <w:p w:rsidR="00FD032E" w:rsidRPr="00617AA3" w:rsidRDefault="00905A9B">
      <w:pPr>
        <w:pStyle w:val="ListParagraph"/>
        <w:numPr>
          <w:ilvl w:val="0"/>
          <w:numId w:val="5"/>
        </w:numPr>
        <w:spacing w:after="0"/>
        <w:rPr>
          <w:rFonts w:ascii="Arial" w:hAnsi="Arial" w:cs="Arial"/>
        </w:rPr>
      </w:pPr>
      <w:r w:rsidRPr="00617AA3">
        <w:rPr>
          <w:rFonts w:ascii="Arial" w:hAnsi="Arial" w:cs="Arial"/>
          <w:b/>
        </w:rPr>
        <w:t xml:space="preserve">Capital </w:t>
      </w:r>
      <w:r w:rsidRPr="00617AA3">
        <w:rPr>
          <w:rFonts w:ascii="Arial" w:hAnsi="Arial" w:cs="Arial"/>
        </w:rPr>
        <w:t>- The FY 15 state budget allocates $3M to ABOR to be distributed to the universities for major maintenance and repair of state buildings. This marks the first State General Fund investment to these types of projects since FY 2007 and only the second investment in the last 15 years.</w:t>
      </w:r>
    </w:p>
    <w:p w:rsidR="00FD032E" w:rsidRPr="00617AA3" w:rsidRDefault="00905A9B">
      <w:pPr>
        <w:pStyle w:val="ListParagraph"/>
        <w:numPr>
          <w:ilvl w:val="0"/>
          <w:numId w:val="5"/>
        </w:numPr>
        <w:spacing w:after="0"/>
        <w:rPr>
          <w:rFonts w:ascii="Arial" w:hAnsi="Arial" w:cs="Arial"/>
        </w:rPr>
      </w:pPr>
      <w:r w:rsidRPr="00617AA3">
        <w:rPr>
          <w:rFonts w:ascii="Arial" w:hAnsi="Arial" w:cs="Arial"/>
          <w:b/>
        </w:rPr>
        <w:t xml:space="preserve">Performance Funding </w:t>
      </w:r>
      <w:r w:rsidRPr="00617AA3">
        <w:rPr>
          <w:rFonts w:ascii="Arial" w:hAnsi="Arial" w:cs="Arial"/>
        </w:rPr>
        <w:t>- The FY 15 budget does not allocate any new money to the universities for performance funding. Instead, the FY14 amount of $5M is reallocated to ABOR for redistribution to the three universities. This action is a departure from last year and leaves the manner in which the system will request new dollars in question.</w:t>
      </w:r>
    </w:p>
    <w:p w:rsidR="00FD032E" w:rsidRPr="00617AA3" w:rsidRDefault="00905A9B">
      <w:pPr>
        <w:pStyle w:val="ListParagraph"/>
        <w:numPr>
          <w:ilvl w:val="0"/>
          <w:numId w:val="5"/>
        </w:numPr>
        <w:spacing w:after="0"/>
        <w:rPr>
          <w:rFonts w:ascii="Arial" w:hAnsi="Arial" w:cs="Arial"/>
        </w:rPr>
      </w:pPr>
      <w:r w:rsidRPr="00617AA3">
        <w:rPr>
          <w:rFonts w:ascii="Arial" w:hAnsi="Arial" w:cs="Arial"/>
          <w:b/>
        </w:rPr>
        <w:t>TGen/NAU Funding</w:t>
      </w:r>
      <w:r w:rsidRPr="00617AA3">
        <w:rPr>
          <w:rFonts w:ascii="Arial" w:hAnsi="Arial" w:cs="Arial"/>
        </w:rPr>
        <w:t xml:space="preserve"> - The state budget allocates $3M over the next five years to NAU for distribution to TGen.</w:t>
      </w:r>
    </w:p>
    <w:p w:rsidR="00FD032E" w:rsidRPr="00617AA3" w:rsidRDefault="00905A9B">
      <w:pPr>
        <w:pStyle w:val="ListParagraph"/>
        <w:numPr>
          <w:ilvl w:val="0"/>
          <w:numId w:val="5"/>
        </w:numPr>
        <w:spacing w:after="0"/>
        <w:rPr>
          <w:rFonts w:ascii="Arial" w:hAnsi="Arial" w:cs="Arial"/>
        </w:rPr>
      </w:pPr>
      <w:r w:rsidRPr="00617AA3">
        <w:rPr>
          <w:rFonts w:ascii="Arial" w:hAnsi="Arial" w:cs="Arial"/>
          <w:b/>
        </w:rPr>
        <w:t>Miscellaneous Items</w:t>
      </w:r>
      <w:r w:rsidRPr="00617AA3">
        <w:rPr>
          <w:rFonts w:ascii="Arial" w:hAnsi="Arial" w:cs="Arial"/>
        </w:rPr>
        <w:t xml:space="preserve">: </w:t>
      </w:r>
    </w:p>
    <w:p w:rsidR="00FD032E" w:rsidRPr="00617AA3" w:rsidRDefault="00905A9B">
      <w:pPr>
        <w:pStyle w:val="ListParagraph"/>
        <w:numPr>
          <w:ilvl w:val="1"/>
          <w:numId w:val="5"/>
        </w:numPr>
        <w:spacing w:after="0"/>
        <w:rPr>
          <w:rFonts w:ascii="Arial" w:hAnsi="Arial" w:cs="Arial"/>
        </w:rPr>
      </w:pPr>
      <w:r w:rsidRPr="00617AA3">
        <w:rPr>
          <w:rFonts w:ascii="Arial" w:hAnsi="Arial" w:cs="Arial"/>
        </w:rPr>
        <w:t>The budget “rollover” of $200M for the university system is continued.</w:t>
      </w:r>
    </w:p>
    <w:p w:rsidR="00FD032E" w:rsidRPr="00617AA3" w:rsidRDefault="00905A9B">
      <w:pPr>
        <w:pStyle w:val="ListParagraph"/>
        <w:numPr>
          <w:ilvl w:val="1"/>
          <w:numId w:val="5"/>
        </w:numPr>
        <w:spacing w:after="0"/>
        <w:rPr>
          <w:rFonts w:ascii="Arial" w:hAnsi="Arial" w:cs="Arial"/>
        </w:rPr>
      </w:pPr>
      <w:r w:rsidRPr="00617AA3">
        <w:rPr>
          <w:rFonts w:ascii="Arial" w:hAnsi="Arial" w:cs="Arial"/>
        </w:rPr>
        <w:lastRenderedPageBreak/>
        <w:t>Continues to require the universities to fund the state longitudinal data system for K-12 via a $6 per student fee (HB 2704).</w:t>
      </w:r>
    </w:p>
    <w:p w:rsidR="00FD032E" w:rsidRPr="00617AA3" w:rsidRDefault="00FD032E">
      <w:pPr>
        <w:spacing w:after="0"/>
        <w:rPr>
          <w:rFonts w:ascii="Arial" w:hAnsi="Arial" w:cs="Arial"/>
        </w:rPr>
      </w:pPr>
    </w:p>
    <w:p w:rsidR="00283EF9" w:rsidRDefault="00283EF9" w:rsidP="002A07E9">
      <w:pPr>
        <w:spacing w:after="0"/>
        <w:jc w:val="center"/>
        <w:rPr>
          <w:rFonts w:ascii="Arial" w:hAnsi="Arial" w:cs="Arial"/>
          <w:b/>
          <w:sz w:val="28"/>
          <w:szCs w:val="28"/>
          <w:u w:val="single"/>
        </w:rPr>
      </w:pPr>
      <w:r>
        <w:rPr>
          <w:rFonts w:ascii="Arial" w:hAnsi="Arial" w:cs="Arial"/>
          <w:b/>
          <w:sz w:val="28"/>
          <w:szCs w:val="28"/>
          <w:u w:val="single"/>
        </w:rPr>
        <w:t>Final Disposition of ABOR/University Priority Bills</w:t>
      </w:r>
    </w:p>
    <w:p w:rsidR="00283EF9" w:rsidRDefault="00283EF9" w:rsidP="00283EF9">
      <w:pPr>
        <w:spacing w:after="0"/>
        <w:rPr>
          <w:rFonts w:ascii="Arial" w:hAnsi="Arial" w:cs="Arial"/>
          <w:b/>
          <w:sz w:val="28"/>
          <w:szCs w:val="28"/>
          <w:u w:val="single"/>
        </w:rPr>
      </w:pPr>
    </w:p>
    <w:p w:rsidR="00283EF9" w:rsidRPr="00283EF9" w:rsidRDefault="00283EF9" w:rsidP="00283EF9">
      <w:pPr>
        <w:spacing w:after="0"/>
        <w:rPr>
          <w:rFonts w:ascii="Arial" w:hAnsi="Arial" w:cs="Arial"/>
          <w:b/>
        </w:rPr>
      </w:pPr>
      <w:r w:rsidRPr="00283EF9">
        <w:rPr>
          <w:rFonts w:ascii="Arial" w:hAnsi="Arial" w:cs="Arial"/>
          <w:b/>
        </w:rPr>
        <w:t>HB 2279 - ABOR; technology &amp; research; report (Orr)</w:t>
      </w:r>
    </w:p>
    <w:p w:rsidR="00283EF9" w:rsidRPr="00491850" w:rsidRDefault="00491850" w:rsidP="00283EF9">
      <w:pPr>
        <w:spacing w:after="0"/>
        <w:rPr>
          <w:rFonts w:ascii="Arial" w:hAnsi="Arial" w:cs="Arial"/>
          <w:b/>
        </w:rPr>
      </w:pPr>
      <w:r>
        <w:rPr>
          <w:rFonts w:ascii="Arial" w:hAnsi="Arial" w:cs="Arial"/>
          <w:color w:val="000000"/>
        </w:rPr>
        <w:t>Known as the ABOR modernization bill, HB 2279 sought to modify</w:t>
      </w:r>
      <w:r w:rsidRPr="00491850">
        <w:rPr>
          <w:rFonts w:ascii="Arial" w:hAnsi="Arial" w:cs="Arial"/>
          <w:color w:val="000000"/>
        </w:rPr>
        <w:t xml:space="preserve"> the requirements for submittal of</w:t>
      </w:r>
      <w:r>
        <w:rPr>
          <w:rFonts w:ascii="Arial" w:hAnsi="Arial" w:cs="Arial"/>
          <w:color w:val="000000"/>
        </w:rPr>
        <w:t xml:space="preserve"> the ABOR </w:t>
      </w:r>
      <w:r w:rsidRPr="00491850">
        <w:rPr>
          <w:rFonts w:ascii="Arial" w:hAnsi="Arial" w:cs="Arial"/>
          <w:color w:val="000000"/>
        </w:rPr>
        <w:t>technology and research award program annual report.</w:t>
      </w:r>
      <w:r>
        <w:rPr>
          <w:rFonts w:ascii="Arial" w:hAnsi="Arial" w:cs="Arial"/>
          <w:color w:val="000000"/>
        </w:rPr>
        <w:t xml:space="preserve"> The bill also changed all statutory references to the “executive director” of ABOR to the “president” of ABOR. Political issues outside the content of the bill itself prevented the bill’s passage.</w:t>
      </w:r>
      <w:r w:rsidR="00E664C2">
        <w:rPr>
          <w:rFonts w:ascii="Arial" w:hAnsi="Arial" w:cs="Arial"/>
          <w:color w:val="000000"/>
        </w:rPr>
        <w:t xml:space="preserve"> Certain portions of this bill were signed into law as part of HB 2347 (see below).</w:t>
      </w:r>
      <w:r>
        <w:rPr>
          <w:rFonts w:ascii="Arial" w:hAnsi="Arial" w:cs="Arial"/>
          <w:b/>
        </w:rPr>
        <w:t xml:space="preserve"> </w:t>
      </w:r>
      <w:r w:rsidRPr="00491850">
        <w:rPr>
          <w:rFonts w:ascii="Arial" w:hAnsi="Arial" w:cs="Arial"/>
          <w:color w:val="FF0000"/>
        </w:rPr>
        <w:t>(Held in Senate Education).</w:t>
      </w:r>
    </w:p>
    <w:p w:rsidR="00283EF9" w:rsidRDefault="00283EF9" w:rsidP="00283EF9">
      <w:pPr>
        <w:spacing w:after="0"/>
        <w:rPr>
          <w:rFonts w:ascii="Arial" w:hAnsi="Arial" w:cs="Arial"/>
          <w:b/>
        </w:rPr>
      </w:pPr>
    </w:p>
    <w:p w:rsidR="00283EF9" w:rsidRDefault="00283EF9" w:rsidP="00283EF9">
      <w:pPr>
        <w:spacing w:after="0"/>
        <w:rPr>
          <w:rFonts w:ascii="Arial" w:hAnsi="Arial" w:cs="Arial"/>
          <w:b/>
        </w:rPr>
      </w:pPr>
      <w:r w:rsidRPr="00283EF9">
        <w:rPr>
          <w:rFonts w:ascii="Arial" w:hAnsi="Arial" w:cs="Arial"/>
          <w:b/>
        </w:rPr>
        <w:t>SB 1378 – university research infrastructure facilities; appropriations (Shooter)</w:t>
      </w:r>
    </w:p>
    <w:p w:rsidR="00283EF9" w:rsidRPr="00491850" w:rsidRDefault="00491850" w:rsidP="00283EF9">
      <w:pPr>
        <w:spacing w:after="0"/>
        <w:rPr>
          <w:rFonts w:ascii="Arial" w:hAnsi="Arial" w:cs="Arial"/>
        </w:rPr>
      </w:pPr>
      <w:r>
        <w:rPr>
          <w:rFonts w:ascii="Arial" w:hAnsi="Arial" w:cs="Arial"/>
        </w:rPr>
        <w:t>The university research infrastructure bill, labeled Jobs 2020</w:t>
      </w:r>
      <w:r w:rsidR="007A3D15">
        <w:rPr>
          <w:rFonts w:ascii="Arial" w:hAnsi="Arial" w:cs="Arial"/>
        </w:rPr>
        <w:t xml:space="preserve">, </w:t>
      </w:r>
      <w:r>
        <w:rPr>
          <w:rFonts w:ascii="Arial" w:hAnsi="Arial" w:cs="Arial"/>
        </w:rPr>
        <w:t>contained blank appropriations to be divided among the three universities for investments in university research infrastructure and work force development endeavors. The target s</w:t>
      </w:r>
      <w:r w:rsidR="007A3D15">
        <w:rPr>
          <w:rFonts w:ascii="Arial" w:hAnsi="Arial" w:cs="Arial"/>
        </w:rPr>
        <w:t>tate General F</w:t>
      </w:r>
      <w:r>
        <w:rPr>
          <w:rFonts w:ascii="Arial" w:hAnsi="Arial" w:cs="Arial"/>
        </w:rPr>
        <w:t>und investment was $1 billion</w:t>
      </w:r>
      <w:r w:rsidR="007A3D15">
        <w:rPr>
          <w:rFonts w:ascii="Arial" w:hAnsi="Arial" w:cs="Arial"/>
        </w:rPr>
        <w:t xml:space="preserve"> over 25 years</w:t>
      </w:r>
      <w:r>
        <w:rPr>
          <w:rFonts w:ascii="Arial" w:hAnsi="Arial" w:cs="Arial"/>
        </w:rPr>
        <w:t xml:space="preserve">. Caught up in the budget battle, and other political issues, the bill was never assigned to a policy committee in the </w:t>
      </w:r>
      <w:r w:rsidR="000D1F28">
        <w:rPr>
          <w:rFonts w:ascii="Arial" w:hAnsi="Arial" w:cs="Arial"/>
        </w:rPr>
        <w:t>Senate</w:t>
      </w:r>
      <w:r w:rsidR="007A3D15">
        <w:rPr>
          <w:rFonts w:ascii="Arial" w:hAnsi="Arial" w:cs="Arial"/>
        </w:rPr>
        <w:t>;</w:t>
      </w:r>
      <w:r>
        <w:rPr>
          <w:rFonts w:ascii="Arial" w:hAnsi="Arial" w:cs="Arial"/>
        </w:rPr>
        <w:t xml:space="preserve"> as a result, a formal hearing was prevented from taking place. </w:t>
      </w:r>
      <w:r w:rsidRPr="00491850">
        <w:rPr>
          <w:rFonts w:ascii="Arial" w:hAnsi="Arial" w:cs="Arial"/>
          <w:color w:val="FF0000"/>
        </w:rPr>
        <w:t>(Held in Senate Rules).</w:t>
      </w:r>
    </w:p>
    <w:p w:rsidR="00283EF9" w:rsidRDefault="00283EF9" w:rsidP="00283EF9">
      <w:pPr>
        <w:spacing w:after="0"/>
        <w:rPr>
          <w:rFonts w:ascii="Arial" w:hAnsi="Arial" w:cs="Arial"/>
          <w:b/>
        </w:rPr>
      </w:pPr>
    </w:p>
    <w:p w:rsidR="00491850" w:rsidRDefault="00283EF9" w:rsidP="00491850">
      <w:pPr>
        <w:spacing w:after="0"/>
        <w:rPr>
          <w:rFonts w:ascii="Arial" w:hAnsi="Arial" w:cs="Arial"/>
          <w:b/>
        </w:rPr>
      </w:pPr>
      <w:r w:rsidRPr="00617AA3">
        <w:rPr>
          <w:rFonts w:ascii="Arial" w:hAnsi="Arial" w:cs="Arial"/>
          <w:b/>
        </w:rPr>
        <w:t>SB1392 - universities; intellectual property (Yee)</w:t>
      </w:r>
    </w:p>
    <w:p w:rsidR="000D1F28" w:rsidRDefault="00283EF9" w:rsidP="00491850">
      <w:pPr>
        <w:spacing w:after="0"/>
        <w:rPr>
          <w:rFonts w:ascii="Arial" w:hAnsi="Arial" w:cs="Arial"/>
          <w:b/>
        </w:rPr>
      </w:pPr>
      <w:r w:rsidRPr="00491850">
        <w:rPr>
          <w:rFonts w:ascii="Arial" w:hAnsi="Arial" w:cs="Arial"/>
        </w:rPr>
        <w:t xml:space="preserve">Known as the universities' tech transfer bill, streamlines the ABOR process for transferring intellectual property and technology. </w:t>
      </w:r>
      <w:r w:rsidR="00491850">
        <w:rPr>
          <w:rFonts w:ascii="Arial" w:hAnsi="Arial" w:cs="Arial"/>
        </w:rPr>
        <w:t>The bill r</w:t>
      </w:r>
      <w:r w:rsidR="00491850" w:rsidRPr="00491850">
        <w:rPr>
          <w:rFonts w:ascii="Arial" w:hAnsi="Arial" w:cs="Arial"/>
        </w:rPr>
        <w:t>equires ABOR to maintain intellectual property policies that allow, on a case-by-case negotiated basis, licensing, assignment or other transfer of intellectual property ow</w:t>
      </w:r>
      <w:r w:rsidR="00491850">
        <w:rPr>
          <w:rFonts w:ascii="Arial" w:hAnsi="Arial" w:cs="Arial"/>
        </w:rPr>
        <w:t xml:space="preserve">ned by ABOR to third parties if </w:t>
      </w:r>
      <w:r w:rsidR="00491850" w:rsidRPr="00491850">
        <w:rPr>
          <w:rFonts w:ascii="Arial" w:hAnsi="Arial" w:cs="Arial"/>
        </w:rPr>
        <w:t>the transfer is in the best interest of the state and the university system; or</w:t>
      </w:r>
      <w:r w:rsidR="00491850">
        <w:rPr>
          <w:rFonts w:ascii="Arial" w:hAnsi="Arial" w:cs="Arial"/>
          <w:b/>
        </w:rPr>
        <w:t xml:space="preserve"> </w:t>
      </w:r>
      <w:r w:rsidR="00491850">
        <w:rPr>
          <w:rFonts w:ascii="Arial" w:hAnsi="Arial" w:cs="Arial"/>
        </w:rPr>
        <w:t>t</w:t>
      </w:r>
      <w:r w:rsidR="00491850" w:rsidRPr="00491850">
        <w:rPr>
          <w:rFonts w:ascii="Arial" w:hAnsi="Arial" w:cs="Arial"/>
        </w:rPr>
        <w:t>he transfer promotes the dissemination of university research for the public benefit.</w:t>
      </w:r>
      <w:r w:rsidR="000D1F28">
        <w:rPr>
          <w:rFonts w:ascii="Arial" w:hAnsi="Arial" w:cs="Arial"/>
        </w:rPr>
        <w:t xml:space="preserve"> The legislation also outlines what the ABOR policy must address.</w:t>
      </w:r>
      <w:r w:rsidR="000D1F28">
        <w:rPr>
          <w:rFonts w:ascii="Arial" w:hAnsi="Arial" w:cs="Arial"/>
          <w:b/>
        </w:rPr>
        <w:t xml:space="preserve"> </w:t>
      </w:r>
    </w:p>
    <w:p w:rsidR="00283EF9" w:rsidRPr="000D1F28" w:rsidRDefault="00283EF9" w:rsidP="00491850">
      <w:pPr>
        <w:spacing w:after="0"/>
        <w:rPr>
          <w:rFonts w:ascii="Arial" w:hAnsi="Arial" w:cs="Arial"/>
          <w:b/>
        </w:rPr>
      </w:pPr>
      <w:r w:rsidRPr="00617AA3">
        <w:rPr>
          <w:rFonts w:ascii="Arial" w:hAnsi="Arial" w:cs="Arial"/>
          <w:color w:val="FF0000"/>
        </w:rPr>
        <w:t>(Signed on 4/23/14)</w:t>
      </w:r>
      <w:r w:rsidRPr="00617AA3">
        <w:rPr>
          <w:rFonts w:ascii="Arial" w:hAnsi="Arial" w:cs="Arial"/>
        </w:rPr>
        <w:t>.</w:t>
      </w:r>
    </w:p>
    <w:p w:rsidR="00283EF9" w:rsidRDefault="00283EF9" w:rsidP="007A3D15">
      <w:pPr>
        <w:spacing w:after="0"/>
        <w:rPr>
          <w:rFonts w:ascii="Arial" w:hAnsi="Arial" w:cs="Arial"/>
          <w:b/>
          <w:sz w:val="28"/>
          <w:szCs w:val="28"/>
          <w:u w:val="single"/>
        </w:rPr>
      </w:pPr>
    </w:p>
    <w:p w:rsidR="00FD032E" w:rsidRPr="008E4561" w:rsidRDefault="00FE1728" w:rsidP="002A07E9">
      <w:pPr>
        <w:spacing w:after="0"/>
        <w:jc w:val="center"/>
        <w:rPr>
          <w:rFonts w:ascii="Arial" w:hAnsi="Arial" w:cs="Arial"/>
          <w:b/>
          <w:sz w:val="28"/>
          <w:szCs w:val="28"/>
          <w:u w:val="single"/>
        </w:rPr>
      </w:pPr>
      <w:r>
        <w:rPr>
          <w:rFonts w:ascii="Arial" w:hAnsi="Arial" w:cs="Arial"/>
          <w:b/>
          <w:sz w:val="28"/>
          <w:szCs w:val="28"/>
          <w:u w:val="single"/>
        </w:rPr>
        <w:t xml:space="preserve">Notable </w:t>
      </w:r>
      <w:r w:rsidR="00905A9B" w:rsidRPr="008E4561">
        <w:rPr>
          <w:rFonts w:ascii="Arial" w:hAnsi="Arial" w:cs="Arial"/>
          <w:b/>
          <w:sz w:val="28"/>
          <w:szCs w:val="28"/>
          <w:u w:val="single"/>
        </w:rPr>
        <w:t>Bills Signed by the Governor</w:t>
      </w:r>
    </w:p>
    <w:p w:rsidR="00FD032E" w:rsidRPr="00617AA3" w:rsidRDefault="00FD032E">
      <w:pPr>
        <w:spacing w:after="0"/>
        <w:rPr>
          <w:rFonts w:ascii="Arial" w:hAnsi="Arial" w:cs="Arial"/>
        </w:rPr>
      </w:pPr>
    </w:p>
    <w:p w:rsidR="00FD032E" w:rsidRPr="00617AA3" w:rsidRDefault="00905A9B">
      <w:pPr>
        <w:spacing w:after="0"/>
        <w:rPr>
          <w:rFonts w:ascii="Arial" w:hAnsi="Arial" w:cs="Arial"/>
          <w:b/>
        </w:rPr>
      </w:pPr>
      <w:r w:rsidRPr="00617AA3">
        <w:rPr>
          <w:rFonts w:ascii="Arial" w:hAnsi="Arial" w:cs="Arial"/>
          <w:b/>
        </w:rPr>
        <w:t>HB 2039 - charter schools; higher education sponsors (Goodale)</w:t>
      </w:r>
    </w:p>
    <w:p w:rsidR="00FD032E" w:rsidRPr="00617AA3" w:rsidRDefault="00491850">
      <w:pPr>
        <w:spacing w:after="0"/>
        <w:rPr>
          <w:rFonts w:ascii="Arial" w:hAnsi="Arial" w:cs="Arial"/>
        </w:rPr>
      </w:pPr>
      <w:r>
        <w:rPr>
          <w:rFonts w:ascii="Arial" w:hAnsi="Arial" w:cs="Arial"/>
        </w:rPr>
        <w:t xml:space="preserve">Clarifying legislation that </w:t>
      </w:r>
      <w:r w:rsidR="00905A9B" w:rsidRPr="00617AA3">
        <w:rPr>
          <w:rFonts w:ascii="Arial" w:hAnsi="Arial" w:cs="Arial"/>
        </w:rPr>
        <w:t xml:space="preserve">expands the eligibility to participate in ASRS to all charter schools, including those operated by universities. </w:t>
      </w:r>
      <w:r w:rsidR="00905A9B" w:rsidRPr="00617AA3">
        <w:rPr>
          <w:rFonts w:ascii="Arial" w:hAnsi="Arial" w:cs="Arial"/>
          <w:color w:val="FF0000"/>
        </w:rPr>
        <w:t>(Signed on 4/16/14)</w:t>
      </w:r>
      <w:r w:rsidR="00905A9B" w:rsidRPr="00617AA3">
        <w:rPr>
          <w:rFonts w:ascii="Arial" w:hAnsi="Arial" w:cs="Arial"/>
        </w:rPr>
        <w:t>.</w:t>
      </w:r>
    </w:p>
    <w:p w:rsidR="00FD032E" w:rsidRPr="00617AA3" w:rsidRDefault="00FD032E">
      <w:pPr>
        <w:spacing w:after="0"/>
        <w:rPr>
          <w:rFonts w:ascii="Arial" w:hAnsi="Arial" w:cs="Arial"/>
        </w:rPr>
      </w:pPr>
    </w:p>
    <w:p w:rsidR="00FD032E" w:rsidRPr="00617AA3" w:rsidRDefault="00905A9B">
      <w:pPr>
        <w:spacing w:after="0"/>
        <w:rPr>
          <w:rFonts w:ascii="Arial" w:hAnsi="Arial" w:cs="Arial"/>
          <w:b/>
        </w:rPr>
      </w:pPr>
      <w:r w:rsidRPr="00617AA3">
        <w:rPr>
          <w:rFonts w:ascii="Arial" w:hAnsi="Arial" w:cs="Arial"/>
          <w:b/>
        </w:rPr>
        <w:t>HB 2265 - computer science courses; math credit. (Forese)</w:t>
      </w:r>
    </w:p>
    <w:p w:rsidR="00FD032E" w:rsidRPr="00617AA3" w:rsidRDefault="00905A9B">
      <w:pPr>
        <w:spacing w:after="0"/>
        <w:rPr>
          <w:rFonts w:ascii="Arial" w:hAnsi="Arial" w:cs="Arial"/>
        </w:rPr>
      </w:pPr>
      <w:r w:rsidRPr="00617AA3">
        <w:rPr>
          <w:rFonts w:ascii="Arial" w:hAnsi="Arial" w:cs="Arial"/>
        </w:rPr>
        <w:t xml:space="preserve">Allows school district governing boards and charter schools to approve a rigorous computer science course to fulfill a required math course. </w:t>
      </w:r>
      <w:r w:rsidRPr="00617AA3">
        <w:rPr>
          <w:rFonts w:ascii="Arial" w:hAnsi="Arial" w:cs="Arial"/>
          <w:color w:val="FF0000"/>
        </w:rPr>
        <w:t>(Signed on 4/22/14)</w:t>
      </w:r>
      <w:r w:rsidRPr="00617AA3">
        <w:rPr>
          <w:rFonts w:ascii="Arial" w:hAnsi="Arial" w:cs="Arial"/>
        </w:rPr>
        <w:t>.</w:t>
      </w:r>
    </w:p>
    <w:p w:rsidR="00FD032E" w:rsidRPr="00617AA3" w:rsidRDefault="00FD032E">
      <w:pPr>
        <w:spacing w:after="0"/>
        <w:rPr>
          <w:rFonts w:ascii="Arial" w:hAnsi="Arial" w:cs="Arial"/>
        </w:rPr>
      </w:pPr>
    </w:p>
    <w:p w:rsidR="00FD032E" w:rsidRPr="00617AA3" w:rsidRDefault="00905A9B">
      <w:pPr>
        <w:spacing w:after="0"/>
        <w:rPr>
          <w:rFonts w:ascii="Arial" w:hAnsi="Arial" w:cs="Arial"/>
          <w:b/>
        </w:rPr>
      </w:pPr>
      <w:r w:rsidRPr="00617AA3">
        <w:rPr>
          <w:rFonts w:ascii="Arial" w:hAnsi="Arial" w:cs="Arial"/>
          <w:b/>
        </w:rPr>
        <w:t>HB 2437 - public committees; repeal; sunset (Gowan)</w:t>
      </w:r>
    </w:p>
    <w:p w:rsidR="00FD032E" w:rsidRPr="00617AA3" w:rsidRDefault="00905A9B">
      <w:pPr>
        <w:spacing w:after="0"/>
        <w:rPr>
          <w:rFonts w:ascii="Arial" w:hAnsi="Arial" w:cs="Arial"/>
        </w:rPr>
      </w:pPr>
      <w:r w:rsidRPr="00617AA3">
        <w:rPr>
          <w:rFonts w:ascii="Arial" w:hAnsi="Arial" w:cs="Arial"/>
        </w:rPr>
        <w:t xml:space="preserve">Repeals inactive statutory committees, provides sunset dates, and makes various changes to statutory committees.  Changes certain statutory references to the </w:t>
      </w:r>
      <w:r w:rsidR="00283EF9">
        <w:rPr>
          <w:rFonts w:ascii="Arial" w:hAnsi="Arial" w:cs="Arial"/>
        </w:rPr>
        <w:t>“</w:t>
      </w:r>
      <w:r w:rsidRPr="00617AA3">
        <w:rPr>
          <w:rFonts w:ascii="Arial" w:hAnsi="Arial" w:cs="Arial"/>
        </w:rPr>
        <w:t>e</w:t>
      </w:r>
      <w:r w:rsidR="00283EF9">
        <w:rPr>
          <w:rFonts w:ascii="Arial" w:hAnsi="Arial" w:cs="Arial"/>
        </w:rPr>
        <w:t xml:space="preserve">xecutive director” of ABOR to </w:t>
      </w:r>
      <w:r w:rsidRPr="00617AA3">
        <w:rPr>
          <w:rFonts w:ascii="Arial" w:hAnsi="Arial" w:cs="Arial"/>
        </w:rPr>
        <w:t xml:space="preserve">read </w:t>
      </w:r>
      <w:r w:rsidR="00283EF9">
        <w:rPr>
          <w:rFonts w:ascii="Arial" w:hAnsi="Arial" w:cs="Arial"/>
        </w:rPr>
        <w:t>“</w:t>
      </w:r>
      <w:r w:rsidRPr="00617AA3">
        <w:rPr>
          <w:rFonts w:ascii="Arial" w:hAnsi="Arial" w:cs="Arial"/>
        </w:rPr>
        <w:t>president</w:t>
      </w:r>
      <w:r w:rsidR="00283EF9">
        <w:rPr>
          <w:rFonts w:ascii="Arial" w:hAnsi="Arial" w:cs="Arial"/>
        </w:rPr>
        <w:t>”</w:t>
      </w:r>
      <w:r w:rsidRPr="00617AA3">
        <w:rPr>
          <w:rFonts w:ascii="Arial" w:hAnsi="Arial" w:cs="Arial"/>
        </w:rPr>
        <w:t xml:space="preserve"> of ABOR, as contained in the ABOR initiative HB 2279. </w:t>
      </w:r>
      <w:r w:rsidRPr="00617AA3">
        <w:rPr>
          <w:rFonts w:ascii="Arial" w:hAnsi="Arial" w:cs="Arial"/>
          <w:color w:val="FF0000"/>
        </w:rPr>
        <w:t>(Signed on 4/24/14)</w:t>
      </w:r>
      <w:r w:rsidRPr="00617AA3">
        <w:rPr>
          <w:rFonts w:ascii="Arial" w:hAnsi="Arial" w:cs="Arial"/>
        </w:rPr>
        <w:t>.</w:t>
      </w:r>
    </w:p>
    <w:p w:rsidR="00FD032E" w:rsidRPr="00617AA3" w:rsidRDefault="00FD032E">
      <w:pPr>
        <w:spacing w:after="0"/>
        <w:rPr>
          <w:rFonts w:ascii="Arial" w:hAnsi="Arial" w:cs="Arial"/>
        </w:rPr>
      </w:pPr>
    </w:p>
    <w:p w:rsidR="00FD032E" w:rsidRPr="00617AA3" w:rsidRDefault="00905A9B">
      <w:pPr>
        <w:spacing w:after="0"/>
        <w:rPr>
          <w:rFonts w:ascii="Arial" w:hAnsi="Arial" w:cs="Arial"/>
          <w:b/>
        </w:rPr>
      </w:pPr>
      <w:r w:rsidRPr="00617AA3">
        <w:rPr>
          <w:rFonts w:ascii="Arial" w:hAnsi="Arial" w:cs="Arial"/>
          <w:b/>
        </w:rPr>
        <w:t>HB 2577 - postsecondary distance education; reciprocity agreements (Dial)</w:t>
      </w:r>
    </w:p>
    <w:p w:rsidR="00FD032E" w:rsidRPr="00617AA3" w:rsidRDefault="00905A9B">
      <w:pPr>
        <w:spacing w:after="0"/>
        <w:rPr>
          <w:rFonts w:ascii="Arial" w:hAnsi="Arial" w:cs="Arial"/>
        </w:rPr>
      </w:pPr>
      <w:r w:rsidRPr="00617AA3">
        <w:rPr>
          <w:rFonts w:ascii="Arial" w:hAnsi="Arial" w:cs="Arial"/>
        </w:rPr>
        <w:lastRenderedPageBreak/>
        <w:t xml:space="preserve">Known as the SARA bill, allows ABOR, community college districts, and the State Board for Private Postsecondary Education to enter into a reciprocity agreement to manage postsecondary distance education. Contained an emergency clause and is effective on the signature of the governor. </w:t>
      </w:r>
      <w:r w:rsidRPr="00617AA3">
        <w:rPr>
          <w:rFonts w:ascii="Arial" w:hAnsi="Arial" w:cs="Arial"/>
          <w:color w:val="FF0000"/>
        </w:rPr>
        <w:t>(Signed on 4/23/14)</w:t>
      </w:r>
      <w:r w:rsidRPr="00617AA3">
        <w:rPr>
          <w:rFonts w:ascii="Arial" w:hAnsi="Arial" w:cs="Arial"/>
        </w:rPr>
        <w:t>.</w:t>
      </w:r>
    </w:p>
    <w:p w:rsidR="00FD032E" w:rsidRPr="00617AA3" w:rsidRDefault="00FD032E">
      <w:pPr>
        <w:spacing w:after="0"/>
        <w:rPr>
          <w:rFonts w:ascii="Arial" w:hAnsi="Arial" w:cs="Arial"/>
        </w:rPr>
      </w:pPr>
    </w:p>
    <w:p w:rsidR="00FD032E" w:rsidRPr="00617AA3" w:rsidRDefault="00905A9B">
      <w:pPr>
        <w:spacing w:after="0"/>
        <w:rPr>
          <w:rFonts w:ascii="Arial" w:hAnsi="Arial" w:cs="Arial"/>
          <w:b/>
        </w:rPr>
      </w:pPr>
      <w:r w:rsidRPr="00617AA3">
        <w:rPr>
          <w:rFonts w:ascii="Arial" w:hAnsi="Arial" w:cs="Arial"/>
          <w:b/>
        </w:rPr>
        <w:t>HB 2580 - alternative fuel vehicles; registration; inspection (Pratt)</w:t>
      </w:r>
    </w:p>
    <w:p w:rsidR="00FD032E" w:rsidRPr="00617AA3" w:rsidRDefault="00905A9B">
      <w:pPr>
        <w:spacing w:after="0"/>
        <w:rPr>
          <w:rFonts w:ascii="Arial" w:hAnsi="Arial" w:cs="Arial"/>
        </w:rPr>
      </w:pPr>
      <w:r w:rsidRPr="00617AA3">
        <w:rPr>
          <w:rFonts w:ascii="Arial" w:hAnsi="Arial" w:cs="Arial"/>
        </w:rPr>
        <w:t>Removes the requirement that fleet vehicles be annually inspected and allows the director of ADEQ to adopt rules for the purposes of fleet testing</w:t>
      </w:r>
      <w:r w:rsidR="000776C8" w:rsidRPr="00617AA3">
        <w:rPr>
          <w:rFonts w:ascii="Arial" w:hAnsi="Arial" w:cs="Arial"/>
        </w:rPr>
        <w:t>.</w:t>
      </w:r>
      <w:r w:rsidRPr="00617AA3">
        <w:rPr>
          <w:rFonts w:ascii="Arial" w:hAnsi="Arial" w:cs="Arial"/>
        </w:rPr>
        <w:t xml:space="preserve"> </w:t>
      </w:r>
      <w:r w:rsidRPr="00617AA3">
        <w:rPr>
          <w:rFonts w:ascii="Arial" w:hAnsi="Arial" w:cs="Arial"/>
          <w:color w:val="FF0000"/>
        </w:rPr>
        <w:t>(Signed on 4/17/14)</w:t>
      </w:r>
      <w:r w:rsidRPr="00617AA3">
        <w:rPr>
          <w:rFonts w:ascii="Arial" w:hAnsi="Arial" w:cs="Arial"/>
        </w:rPr>
        <w:t>.</w:t>
      </w:r>
    </w:p>
    <w:p w:rsidR="00FD032E" w:rsidRPr="00617AA3" w:rsidRDefault="00FD032E">
      <w:pPr>
        <w:spacing w:after="0"/>
        <w:rPr>
          <w:rFonts w:ascii="Arial" w:hAnsi="Arial" w:cs="Arial"/>
          <w:b/>
        </w:rPr>
      </w:pPr>
    </w:p>
    <w:p w:rsidR="000776C8" w:rsidRPr="00617AA3" w:rsidRDefault="000776C8">
      <w:pPr>
        <w:spacing w:after="0"/>
        <w:rPr>
          <w:rFonts w:ascii="Arial" w:hAnsi="Arial" w:cs="Arial"/>
          <w:b/>
        </w:rPr>
      </w:pPr>
      <w:r w:rsidRPr="00617AA3">
        <w:rPr>
          <w:rFonts w:ascii="Arial" w:hAnsi="Arial" w:cs="Arial"/>
          <w:b/>
        </w:rPr>
        <w:t>HB 2701 – TPT; health sciences institutions; exemptions (Olson)</w:t>
      </w:r>
    </w:p>
    <w:p w:rsidR="000776C8" w:rsidRPr="00617AA3" w:rsidRDefault="000776C8" w:rsidP="000776C8">
      <w:pPr>
        <w:autoSpaceDE w:val="0"/>
        <w:autoSpaceDN w:val="0"/>
        <w:adjustRightInd w:val="0"/>
        <w:spacing w:after="0" w:line="240" w:lineRule="auto"/>
        <w:rPr>
          <w:rFonts w:ascii="Arial" w:hAnsi="Arial" w:cs="Arial"/>
        </w:rPr>
      </w:pPr>
      <w:r w:rsidRPr="00617AA3">
        <w:rPr>
          <w:rFonts w:ascii="Arial" w:hAnsi="Arial" w:cs="Arial"/>
        </w:rPr>
        <w:t xml:space="preserve">Effective January 1, 2015, excludes any personal property sold to a qualified health sciences institution from retail, publication, and job printing TPT, as well as from state and municipal use tax. The qualifying institution(s) include Midwestern University. </w:t>
      </w:r>
      <w:r w:rsidRPr="00617AA3">
        <w:rPr>
          <w:rFonts w:ascii="Arial" w:hAnsi="Arial" w:cs="Arial"/>
          <w:color w:val="FF0000"/>
        </w:rPr>
        <w:t>(Signed on 4/30/14)</w:t>
      </w:r>
      <w:r w:rsidRPr="00617AA3">
        <w:rPr>
          <w:rFonts w:ascii="Arial" w:hAnsi="Arial" w:cs="Arial"/>
        </w:rPr>
        <w:t>.</w:t>
      </w:r>
    </w:p>
    <w:p w:rsidR="000776C8" w:rsidRPr="00617AA3" w:rsidRDefault="000776C8">
      <w:pPr>
        <w:spacing w:after="0"/>
        <w:rPr>
          <w:rFonts w:ascii="Arial" w:hAnsi="Arial" w:cs="Arial"/>
          <w:b/>
        </w:rPr>
      </w:pPr>
    </w:p>
    <w:p w:rsidR="000776C8" w:rsidRPr="00617AA3" w:rsidRDefault="000776C8" w:rsidP="000776C8">
      <w:pPr>
        <w:spacing w:after="0"/>
        <w:rPr>
          <w:rFonts w:ascii="Arial" w:hAnsi="Arial" w:cs="Arial"/>
          <w:b/>
          <w:u w:val="single"/>
        </w:rPr>
      </w:pPr>
    </w:p>
    <w:p w:rsidR="00FD032E" w:rsidRPr="008E4561" w:rsidRDefault="00FE1728" w:rsidP="002A07E9">
      <w:pPr>
        <w:spacing w:after="0"/>
        <w:jc w:val="center"/>
        <w:rPr>
          <w:rFonts w:ascii="Arial" w:hAnsi="Arial" w:cs="Arial"/>
          <w:b/>
          <w:sz w:val="28"/>
          <w:szCs w:val="28"/>
          <w:u w:val="single"/>
        </w:rPr>
      </w:pPr>
      <w:r>
        <w:rPr>
          <w:rFonts w:ascii="Arial" w:hAnsi="Arial" w:cs="Arial"/>
          <w:b/>
          <w:sz w:val="28"/>
          <w:szCs w:val="28"/>
          <w:u w:val="single"/>
        </w:rPr>
        <w:t xml:space="preserve">Notable </w:t>
      </w:r>
      <w:r w:rsidR="00905A9B" w:rsidRPr="008E4561">
        <w:rPr>
          <w:rFonts w:ascii="Arial" w:hAnsi="Arial" w:cs="Arial"/>
          <w:b/>
          <w:sz w:val="28"/>
          <w:szCs w:val="28"/>
          <w:u w:val="single"/>
        </w:rPr>
        <w:t>Bills Vetoed by the Governor</w:t>
      </w:r>
    </w:p>
    <w:p w:rsidR="00FD032E" w:rsidRPr="00617AA3" w:rsidRDefault="00FD032E">
      <w:pPr>
        <w:spacing w:after="0"/>
        <w:rPr>
          <w:rFonts w:ascii="Arial" w:hAnsi="Arial" w:cs="Arial"/>
        </w:rPr>
      </w:pPr>
    </w:p>
    <w:p w:rsidR="00FD032E" w:rsidRPr="00617AA3" w:rsidRDefault="00905A9B">
      <w:pPr>
        <w:spacing w:after="0"/>
        <w:rPr>
          <w:rFonts w:ascii="Arial" w:hAnsi="Arial" w:cs="Arial"/>
          <w:b/>
        </w:rPr>
      </w:pPr>
      <w:r w:rsidRPr="00617AA3">
        <w:rPr>
          <w:rFonts w:ascii="Arial" w:hAnsi="Arial" w:cs="Arial"/>
          <w:b/>
        </w:rPr>
        <w:t>HB 2316 - schools; local control; student privacy (Pierce)</w:t>
      </w:r>
    </w:p>
    <w:p w:rsidR="00FD032E" w:rsidRPr="00617AA3" w:rsidRDefault="00905A9B">
      <w:pPr>
        <w:spacing w:after="0"/>
        <w:rPr>
          <w:rFonts w:ascii="Arial" w:hAnsi="Arial" w:cs="Arial"/>
        </w:rPr>
      </w:pPr>
      <w:r w:rsidRPr="00617AA3">
        <w:rPr>
          <w:rFonts w:ascii="Arial" w:hAnsi="Arial" w:cs="Arial"/>
        </w:rPr>
        <w:t xml:space="preserve">Prohibits </w:t>
      </w:r>
      <w:r w:rsidR="005D12D0">
        <w:rPr>
          <w:rFonts w:ascii="Arial" w:hAnsi="Arial" w:cs="Arial"/>
        </w:rPr>
        <w:t xml:space="preserve">the </w:t>
      </w:r>
      <w:r w:rsidRPr="00617AA3">
        <w:rPr>
          <w:rFonts w:ascii="Arial" w:hAnsi="Arial" w:cs="Arial"/>
        </w:rPr>
        <w:t>A</w:t>
      </w:r>
      <w:r w:rsidR="005D12D0">
        <w:rPr>
          <w:rFonts w:ascii="Arial" w:hAnsi="Arial" w:cs="Arial"/>
        </w:rPr>
        <w:t xml:space="preserve">rizona </w:t>
      </w:r>
      <w:r w:rsidRPr="00617AA3">
        <w:rPr>
          <w:rFonts w:ascii="Arial" w:hAnsi="Arial" w:cs="Arial"/>
        </w:rPr>
        <w:t>D</w:t>
      </w:r>
      <w:r w:rsidR="005D12D0">
        <w:rPr>
          <w:rFonts w:ascii="Arial" w:hAnsi="Arial" w:cs="Arial"/>
        </w:rPr>
        <w:t xml:space="preserve">epartment of </w:t>
      </w:r>
      <w:r w:rsidRPr="00617AA3">
        <w:rPr>
          <w:rFonts w:ascii="Arial" w:hAnsi="Arial" w:cs="Arial"/>
        </w:rPr>
        <w:t>E</w:t>
      </w:r>
      <w:r w:rsidR="005D12D0">
        <w:rPr>
          <w:rFonts w:ascii="Arial" w:hAnsi="Arial" w:cs="Arial"/>
        </w:rPr>
        <w:t xml:space="preserve">ducation (ADE) </w:t>
      </w:r>
      <w:r w:rsidRPr="00617AA3">
        <w:rPr>
          <w:rFonts w:ascii="Arial" w:hAnsi="Arial" w:cs="Arial"/>
        </w:rPr>
        <w:t>and the S</w:t>
      </w:r>
      <w:r w:rsidR="005D12D0">
        <w:rPr>
          <w:rFonts w:ascii="Arial" w:hAnsi="Arial" w:cs="Arial"/>
        </w:rPr>
        <w:t xml:space="preserve">tate </w:t>
      </w:r>
      <w:r w:rsidRPr="00617AA3">
        <w:rPr>
          <w:rFonts w:ascii="Arial" w:hAnsi="Arial" w:cs="Arial"/>
        </w:rPr>
        <w:t>B</w:t>
      </w:r>
      <w:r w:rsidR="005D12D0">
        <w:rPr>
          <w:rFonts w:ascii="Arial" w:hAnsi="Arial" w:cs="Arial"/>
        </w:rPr>
        <w:t xml:space="preserve">oard of </w:t>
      </w:r>
      <w:r w:rsidRPr="00617AA3">
        <w:rPr>
          <w:rFonts w:ascii="Arial" w:hAnsi="Arial" w:cs="Arial"/>
        </w:rPr>
        <w:t>E</w:t>
      </w:r>
      <w:r w:rsidR="005D12D0">
        <w:rPr>
          <w:rFonts w:ascii="Arial" w:hAnsi="Arial" w:cs="Arial"/>
        </w:rPr>
        <w:t>ducation (SBE)</w:t>
      </w:r>
      <w:r w:rsidRPr="00617AA3">
        <w:rPr>
          <w:rFonts w:ascii="Arial" w:hAnsi="Arial" w:cs="Arial"/>
        </w:rPr>
        <w:t xml:space="preserve"> from adopting federally mandated educational standards, curricula, or instructional approaches. Requires a transparent process for the adoption of new standards. The Governor indicated in her veto message that the bill is unnecessary and redundant as the Arizona College and Career Ready Standards are not federally mandated and the SBE process is already transparent. She further indicates that's the bill could preempt the ADE's authority to implement certain instructional approaches like SEI and phonics-based instruction. </w:t>
      </w:r>
      <w:r w:rsidRPr="00617AA3">
        <w:rPr>
          <w:rFonts w:ascii="Arial" w:hAnsi="Arial" w:cs="Arial"/>
          <w:color w:val="FF0000"/>
        </w:rPr>
        <w:t>(Vetoed on 4/24/14)</w:t>
      </w:r>
      <w:r w:rsidRPr="00617AA3">
        <w:rPr>
          <w:rFonts w:ascii="Arial" w:hAnsi="Arial" w:cs="Arial"/>
        </w:rPr>
        <w:t>.</w:t>
      </w:r>
    </w:p>
    <w:p w:rsidR="00FD032E" w:rsidRPr="00617AA3" w:rsidRDefault="00FD032E">
      <w:pPr>
        <w:spacing w:after="0"/>
        <w:rPr>
          <w:rFonts w:ascii="Arial" w:hAnsi="Arial" w:cs="Arial"/>
        </w:rPr>
      </w:pPr>
    </w:p>
    <w:p w:rsidR="00FD032E" w:rsidRPr="00617AA3" w:rsidRDefault="00905A9B">
      <w:pPr>
        <w:spacing w:after="0"/>
        <w:rPr>
          <w:rFonts w:ascii="Arial" w:hAnsi="Arial" w:cs="Arial"/>
          <w:b/>
        </w:rPr>
      </w:pPr>
      <w:r w:rsidRPr="00617AA3">
        <w:rPr>
          <w:rFonts w:ascii="Arial" w:hAnsi="Arial" w:cs="Arial"/>
          <w:b/>
        </w:rPr>
        <w:t>HB 2339 - firearms; permit holders; public places (Barton)</w:t>
      </w:r>
    </w:p>
    <w:p w:rsidR="00FD032E" w:rsidRPr="00617AA3" w:rsidRDefault="00905A9B">
      <w:pPr>
        <w:spacing w:after="0"/>
        <w:rPr>
          <w:rFonts w:ascii="Arial" w:hAnsi="Arial" w:cs="Arial"/>
        </w:rPr>
      </w:pPr>
      <w:r w:rsidRPr="00617AA3">
        <w:rPr>
          <w:rFonts w:ascii="Arial" w:hAnsi="Arial" w:cs="Arial"/>
        </w:rPr>
        <w:t xml:space="preserve">Allows a person to carry a deadly weapon in a public establishment or at a public event, with exceptions, if the person has a valid permit to carry a concealed weapon.  The universities were able to secure a clarifying amendment that HB 2339 does not apply to our campuses. The Governor states that she vetoed similar legislation in 2011 and 2012 and her concerns were not addressed in this legislation. She also states that the legislation results in an unfunded mandate for state and local governments. </w:t>
      </w:r>
      <w:r w:rsidRPr="00617AA3">
        <w:rPr>
          <w:rFonts w:ascii="Arial" w:hAnsi="Arial" w:cs="Arial"/>
          <w:color w:val="FF0000"/>
        </w:rPr>
        <w:t>(Vetoed on 4/22/14)</w:t>
      </w:r>
      <w:r w:rsidRPr="00617AA3">
        <w:rPr>
          <w:rFonts w:ascii="Arial" w:hAnsi="Arial" w:cs="Arial"/>
        </w:rPr>
        <w:t>.</w:t>
      </w:r>
    </w:p>
    <w:p w:rsidR="00FD032E" w:rsidRPr="00617AA3" w:rsidRDefault="00FD032E">
      <w:pPr>
        <w:spacing w:after="0"/>
        <w:rPr>
          <w:rFonts w:ascii="Arial" w:hAnsi="Arial" w:cs="Arial"/>
        </w:rPr>
      </w:pPr>
    </w:p>
    <w:p w:rsidR="00FD032E" w:rsidRPr="00617AA3" w:rsidRDefault="00905A9B">
      <w:pPr>
        <w:spacing w:after="0"/>
        <w:rPr>
          <w:rFonts w:ascii="Arial" w:hAnsi="Arial" w:cs="Arial"/>
          <w:b/>
        </w:rPr>
      </w:pPr>
      <w:r w:rsidRPr="00617AA3">
        <w:rPr>
          <w:rFonts w:ascii="Arial" w:hAnsi="Arial" w:cs="Arial"/>
          <w:b/>
        </w:rPr>
        <w:t>HB 2517 - firearms; state preemption; penalties (Smith)</w:t>
      </w:r>
    </w:p>
    <w:p w:rsidR="00FD032E" w:rsidRPr="00617AA3" w:rsidRDefault="00905A9B">
      <w:pPr>
        <w:spacing w:after="0"/>
        <w:rPr>
          <w:rFonts w:ascii="Arial" w:hAnsi="Arial" w:cs="Arial"/>
        </w:rPr>
      </w:pPr>
      <w:r w:rsidRPr="00617AA3">
        <w:rPr>
          <w:rFonts w:ascii="Arial" w:hAnsi="Arial" w:cs="Arial"/>
        </w:rPr>
        <w:t xml:space="preserve">Establishes procedures and penalties for political subdivisions that violate state firearm preemption laws. Did not apply to the universities, but the sponsor refused to clarify this point with an amendment. The Governor states in her veto message that remedies to such violations may already be pursued in court. She further states the bill is to broadly and vaguely worded. </w:t>
      </w:r>
      <w:r w:rsidRPr="00617AA3">
        <w:rPr>
          <w:rFonts w:ascii="Arial" w:hAnsi="Arial" w:cs="Arial"/>
          <w:color w:val="FF0000"/>
        </w:rPr>
        <w:t>(Vetoed</w:t>
      </w:r>
      <w:r w:rsidR="002A07E9" w:rsidRPr="00617AA3">
        <w:rPr>
          <w:rFonts w:ascii="Arial" w:hAnsi="Arial" w:cs="Arial"/>
          <w:color w:val="FF0000"/>
        </w:rPr>
        <w:t xml:space="preserve"> on</w:t>
      </w:r>
      <w:r w:rsidRPr="00617AA3">
        <w:rPr>
          <w:rFonts w:ascii="Arial" w:hAnsi="Arial" w:cs="Arial"/>
          <w:color w:val="FF0000"/>
        </w:rPr>
        <w:t xml:space="preserve"> 4/22/14)</w:t>
      </w:r>
      <w:r w:rsidRPr="00617AA3">
        <w:rPr>
          <w:rFonts w:ascii="Arial" w:hAnsi="Arial" w:cs="Arial"/>
        </w:rPr>
        <w:t>.</w:t>
      </w:r>
    </w:p>
    <w:p w:rsidR="00FD032E" w:rsidRPr="00617AA3" w:rsidRDefault="00FD032E">
      <w:pPr>
        <w:spacing w:after="0"/>
        <w:rPr>
          <w:rFonts w:ascii="Arial" w:hAnsi="Arial" w:cs="Arial"/>
          <w:b/>
          <w:u w:val="single"/>
        </w:rPr>
      </w:pPr>
    </w:p>
    <w:p w:rsidR="00FD032E" w:rsidRPr="005D12D0" w:rsidRDefault="00905A9B" w:rsidP="002A07E9">
      <w:pPr>
        <w:spacing w:after="0"/>
        <w:jc w:val="center"/>
        <w:rPr>
          <w:rFonts w:ascii="Arial" w:hAnsi="Arial" w:cs="Arial"/>
          <w:sz w:val="28"/>
          <w:szCs w:val="28"/>
        </w:rPr>
      </w:pPr>
      <w:r w:rsidRPr="005D12D0">
        <w:rPr>
          <w:rFonts w:ascii="Arial" w:hAnsi="Arial" w:cs="Arial"/>
          <w:b/>
          <w:sz w:val="28"/>
          <w:szCs w:val="28"/>
          <w:u w:val="single"/>
        </w:rPr>
        <w:t>Notable Legislation that Failed to Pass</w:t>
      </w:r>
    </w:p>
    <w:p w:rsidR="00617AA3" w:rsidRDefault="00617AA3" w:rsidP="00617AA3">
      <w:pPr>
        <w:tabs>
          <w:tab w:val="left" w:pos="3855"/>
        </w:tabs>
        <w:spacing w:after="0"/>
        <w:rPr>
          <w:rFonts w:ascii="Arial" w:hAnsi="Arial" w:cs="Arial"/>
          <w:b/>
        </w:rPr>
      </w:pPr>
    </w:p>
    <w:p w:rsidR="00617AA3" w:rsidRDefault="00617AA3" w:rsidP="00617AA3">
      <w:pPr>
        <w:tabs>
          <w:tab w:val="left" w:pos="3855"/>
        </w:tabs>
        <w:spacing w:after="0"/>
        <w:rPr>
          <w:rFonts w:ascii="Arial" w:hAnsi="Arial" w:cs="Arial"/>
          <w:b/>
        </w:rPr>
      </w:pPr>
    </w:p>
    <w:p w:rsidR="00617AA3" w:rsidRPr="00617AA3" w:rsidRDefault="00617AA3" w:rsidP="00617AA3">
      <w:pPr>
        <w:tabs>
          <w:tab w:val="left" w:pos="3855"/>
        </w:tabs>
        <w:spacing w:after="0"/>
        <w:rPr>
          <w:rFonts w:ascii="Arial" w:hAnsi="Arial" w:cs="Arial"/>
          <w:b/>
        </w:rPr>
      </w:pPr>
      <w:r>
        <w:rPr>
          <w:rFonts w:ascii="Arial" w:hAnsi="Arial" w:cs="Arial"/>
          <w:b/>
        </w:rPr>
        <w:t>State Budget Related Measures</w:t>
      </w:r>
    </w:p>
    <w:p w:rsidR="00FD032E" w:rsidRPr="00617AA3" w:rsidRDefault="00905A9B" w:rsidP="00617AA3">
      <w:pPr>
        <w:spacing w:after="0"/>
        <w:rPr>
          <w:rFonts w:ascii="Arial" w:hAnsi="Arial" w:cs="Arial"/>
        </w:rPr>
      </w:pPr>
      <w:r w:rsidRPr="00617AA3">
        <w:rPr>
          <w:rFonts w:ascii="Arial" w:hAnsi="Arial" w:cs="Arial"/>
        </w:rPr>
        <w:t>HB 2014 - ballot measures; proposition 105 disclosures (Ugenti)</w:t>
      </w:r>
    </w:p>
    <w:p w:rsidR="00617AA3" w:rsidRPr="00617AA3" w:rsidRDefault="00617AA3" w:rsidP="00617AA3">
      <w:pPr>
        <w:spacing w:after="0"/>
        <w:rPr>
          <w:rFonts w:ascii="Arial" w:hAnsi="Arial" w:cs="Arial"/>
        </w:rPr>
      </w:pPr>
      <w:r w:rsidRPr="00617AA3">
        <w:rPr>
          <w:rFonts w:ascii="Arial" w:hAnsi="Arial" w:cs="Arial"/>
        </w:rPr>
        <w:t>HB 2618 - S/E: legislative appropriation; federal monies (Livingston)</w:t>
      </w:r>
    </w:p>
    <w:p w:rsidR="00617AA3" w:rsidRPr="00617AA3" w:rsidRDefault="00617AA3" w:rsidP="00617AA3">
      <w:pPr>
        <w:spacing w:after="0"/>
        <w:rPr>
          <w:rFonts w:ascii="Arial" w:hAnsi="Arial" w:cs="Arial"/>
        </w:rPr>
      </w:pPr>
      <w:r w:rsidRPr="00617AA3">
        <w:rPr>
          <w:rFonts w:ascii="Arial" w:hAnsi="Arial" w:cs="Arial"/>
        </w:rPr>
        <w:lastRenderedPageBreak/>
        <w:t>HB 2663 - state budget; consensus forecast (Mesnard)</w:t>
      </w:r>
    </w:p>
    <w:p w:rsidR="00617AA3" w:rsidRPr="00617AA3" w:rsidRDefault="00617AA3" w:rsidP="00617AA3">
      <w:pPr>
        <w:spacing w:after="0"/>
        <w:rPr>
          <w:rFonts w:ascii="Arial" w:hAnsi="Arial" w:cs="Arial"/>
        </w:rPr>
      </w:pPr>
      <w:r w:rsidRPr="00617AA3">
        <w:rPr>
          <w:rFonts w:ascii="Arial" w:hAnsi="Arial" w:cs="Arial"/>
        </w:rPr>
        <w:t>HB 2697 - legislative appropriation; state; federal; monies (Thorpe)</w:t>
      </w:r>
    </w:p>
    <w:p w:rsidR="00617AA3" w:rsidRPr="00617AA3" w:rsidRDefault="00617AA3" w:rsidP="00617AA3">
      <w:pPr>
        <w:spacing w:after="0"/>
        <w:rPr>
          <w:rFonts w:ascii="Arial" w:hAnsi="Arial" w:cs="Arial"/>
        </w:rPr>
      </w:pPr>
      <w:r w:rsidRPr="00617AA3">
        <w:rPr>
          <w:rFonts w:ascii="Arial" w:hAnsi="Arial" w:cs="Arial"/>
        </w:rPr>
        <w:t>HCR 2018 - funding ballot measures; reauthorization (Boyer)</w:t>
      </w:r>
    </w:p>
    <w:p w:rsidR="00617AA3" w:rsidRPr="00617AA3" w:rsidRDefault="00617AA3" w:rsidP="00617AA3">
      <w:pPr>
        <w:spacing w:after="0"/>
        <w:rPr>
          <w:rFonts w:ascii="Arial" w:hAnsi="Arial" w:cs="Arial"/>
        </w:rPr>
      </w:pPr>
      <w:r w:rsidRPr="00617AA3">
        <w:rPr>
          <w:rFonts w:ascii="Arial" w:hAnsi="Arial" w:cs="Arial"/>
        </w:rPr>
        <w:t>HCR 2035 - balanced budget; enactment; time frame (Olson)</w:t>
      </w:r>
    </w:p>
    <w:p w:rsidR="00617AA3" w:rsidRPr="00617AA3" w:rsidRDefault="00617AA3" w:rsidP="00617AA3">
      <w:pPr>
        <w:spacing w:after="0"/>
        <w:rPr>
          <w:rFonts w:ascii="Arial" w:hAnsi="Arial" w:cs="Arial"/>
        </w:rPr>
      </w:pPr>
      <w:r w:rsidRPr="00617AA3">
        <w:rPr>
          <w:rFonts w:ascii="Arial" w:hAnsi="Arial" w:cs="Arial"/>
        </w:rPr>
        <w:t>HCR 2037 - budget stabilization; transfers; prohibition (Olson)</w:t>
      </w:r>
    </w:p>
    <w:p w:rsidR="00617AA3" w:rsidRPr="00617AA3" w:rsidRDefault="00617AA3" w:rsidP="00617AA3">
      <w:pPr>
        <w:spacing w:after="0"/>
        <w:rPr>
          <w:rFonts w:ascii="Arial" w:hAnsi="Arial" w:cs="Arial"/>
        </w:rPr>
      </w:pPr>
      <w:r w:rsidRPr="00617AA3">
        <w:rPr>
          <w:rFonts w:ascii="Arial" w:hAnsi="Arial" w:cs="Arial"/>
        </w:rPr>
        <w:t>SCR 1003 - initiatives; referendum measures; periodic reauthorization (Crandell)</w:t>
      </w:r>
    </w:p>
    <w:p w:rsidR="00617AA3" w:rsidRPr="00617AA3" w:rsidRDefault="00617AA3">
      <w:pPr>
        <w:spacing w:after="0"/>
        <w:rPr>
          <w:rFonts w:ascii="Arial" w:hAnsi="Arial" w:cs="Arial"/>
        </w:rPr>
      </w:pPr>
    </w:p>
    <w:p w:rsidR="00617AA3" w:rsidRPr="00617AA3" w:rsidRDefault="00617AA3">
      <w:pPr>
        <w:spacing w:after="0"/>
        <w:rPr>
          <w:rFonts w:ascii="Arial" w:hAnsi="Arial" w:cs="Arial"/>
          <w:b/>
        </w:rPr>
      </w:pPr>
      <w:r w:rsidRPr="00617AA3">
        <w:rPr>
          <w:rFonts w:ascii="Arial" w:hAnsi="Arial" w:cs="Arial"/>
          <w:b/>
        </w:rPr>
        <w:t>Measures Related to Academic Standards</w:t>
      </w:r>
    </w:p>
    <w:p w:rsidR="00617AA3" w:rsidRDefault="00617AA3" w:rsidP="00617AA3">
      <w:pPr>
        <w:spacing w:after="0"/>
        <w:rPr>
          <w:rFonts w:ascii="Arial" w:hAnsi="Arial" w:cs="Arial"/>
        </w:rPr>
      </w:pPr>
      <w:r w:rsidRPr="00617AA3">
        <w:rPr>
          <w:rFonts w:ascii="Arial" w:hAnsi="Arial" w:cs="Arial"/>
        </w:rPr>
        <w:t>SB 1310- schools; common core; prohibition (Melvin)</w:t>
      </w:r>
    </w:p>
    <w:p w:rsidR="00617AA3" w:rsidRPr="00617AA3" w:rsidRDefault="00617AA3" w:rsidP="00617AA3">
      <w:pPr>
        <w:spacing w:after="0"/>
        <w:rPr>
          <w:rFonts w:ascii="Arial" w:hAnsi="Arial" w:cs="Arial"/>
        </w:rPr>
      </w:pPr>
      <w:r w:rsidRPr="00617AA3">
        <w:rPr>
          <w:rFonts w:ascii="Arial" w:hAnsi="Arial" w:cs="Arial"/>
        </w:rPr>
        <w:t>SB 1395 - schools; competency requirements; assessments; optional (Burges)</w:t>
      </w:r>
    </w:p>
    <w:p w:rsidR="00617AA3" w:rsidRPr="00617AA3" w:rsidRDefault="00617AA3" w:rsidP="00617AA3">
      <w:pPr>
        <w:spacing w:after="0"/>
        <w:rPr>
          <w:rFonts w:ascii="Arial" w:hAnsi="Arial" w:cs="Arial"/>
        </w:rPr>
      </w:pPr>
      <w:r w:rsidRPr="00617AA3">
        <w:rPr>
          <w:rFonts w:ascii="Arial" w:hAnsi="Arial" w:cs="Arial"/>
        </w:rPr>
        <w:t>SB 1396 - schools; competency requirements; assessments (Farnsworth)</w:t>
      </w:r>
    </w:p>
    <w:p w:rsidR="00617AA3" w:rsidRPr="00617AA3" w:rsidRDefault="00617AA3">
      <w:pPr>
        <w:spacing w:after="0"/>
        <w:rPr>
          <w:rFonts w:ascii="Arial" w:hAnsi="Arial" w:cs="Arial"/>
        </w:rPr>
      </w:pPr>
    </w:p>
    <w:p w:rsidR="00617AA3" w:rsidRPr="00617AA3" w:rsidRDefault="00617AA3">
      <w:pPr>
        <w:spacing w:after="0"/>
        <w:rPr>
          <w:rFonts w:ascii="Arial" w:hAnsi="Arial" w:cs="Arial"/>
          <w:b/>
        </w:rPr>
      </w:pPr>
      <w:r w:rsidRPr="00617AA3">
        <w:rPr>
          <w:rFonts w:ascii="Arial" w:hAnsi="Arial" w:cs="Arial"/>
          <w:b/>
        </w:rPr>
        <w:t xml:space="preserve">Miscellaneous Measures </w:t>
      </w:r>
    </w:p>
    <w:p w:rsidR="00FD032E" w:rsidRPr="00617AA3" w:rsidRDefault="00905A9B">
      <w:pPr>
        <w:spacing w:after="0"/>
        <w:rPr>
          <w:rFonts w:ascii="Arial" w:hAnsi="Arial" w:cs="Arial"/>
        </w:rPr>
      </w:pPr>
      <w:r w:rsidRPr="00617AA3">
        <w:rPr>
          <w:rFonts w:ascii="Arial" w:hAnsi="Arial" w:cs="Arial"/>
        </w:rPr>
        <w:t>HB 2058 - public pensions; limit on compensation (Kavanagh)</w:t>
      </w:r>
    </w:p>
    <w:p w:rsidR="00FD032E" w:rsidRPr="00617AA3" w:rsidRDefault="00905A9B">
      <w:pPr>
        <w:spacing w:after="0"/>
        <w:rPr>
          <w:rFonts w:ascii="Arial" w:hAnsi="Arial" w:cs="Arial"/>
        </w:rPr>
      </w:pPr>
      <w:r w:rsidRPr="00617AA3">
        <w:rPr>
          <w:rFonts w:ascii="Arial" w:hAnsi="Arial" w:cs="Arial"/>
        </w:rPr>
        <w:t>HB 2539 - task force; physical education (Boyer)</w:t>
      </w:r>
    </w:p>
    <w:p w:rsidR="002A07E9" w:rsidRPr="00617AA3" w:rsidRDefault="002A07E9" w:rsidP="002A07E9">
      <w:pPr>
        <w:spacing w:after="0"/>
        <w:rPr>
          <w:rFonts w:ascii="Arial" w:hAnsi="Arial" w:cs="Arial"/>
        </w:rPr>
      </w:pPr>
      <w:r w:rsidRPr="00617AA3">
        <w:rPr>
          <w:rFonts w:ascii="Arial" w:hAnsi="Arial" w:cs="Arial"/>
        </w:rPr>
        <w:t>SB 1060 - lobbying; sports tickets; special events (Reagan)</w:t>
      </w:r>
    </w:p>
    <w:p w:rsidR="002A07E9" w:rsidRPr="00617AA3" w:rsidRDefault="002A07E9" w:rsidP="002A07E9">
      <w:pPr>
        <w:spacing w:after="0"/>
        <w:rPr>
          <w:rFonts w:ascii="Arial" w:hAnsi="Arial" w:cs="Arial"/>
        </w:rPr>
      </w:pPr>
      <w:r w:rsidRPr="00617AA3">
        <w:rPr>
          <w:rFonts w:ascii="Arial" w:hAnsi="Arial" w:cs="Arial"/>
        </w:rPr>
        <w:t>SB 1063 - misconduct involving weapons; firearm storage (Murphy)</w:t>
      </w:r>
    </w:p>
    <w:p w:rsidR="002A07E9" w:rsidRPr="00617AA3" w:rsidRDefault="002A07E9" w:rsidP="002A07E9">
      <w:pPr>
        <w:spacing w:after="0"/>
        <w:rPr>
          <w:rFonts w:ascii="Arial" w:hAnsi="Arial" w:cs="Arial"/>
        </w:rPr>
      </w:pPr>
      <w:r w:rsidRPr="00617AA3">
        <w:rPr>
          <w:rFonts w:ascii="Arial" w:hAnsi="Arial" w:cs="Arial"/>
        </w:rPr>
        <w:t xml:space="preserve">SB 1156 - prohibited electronic data; metadata collection (Ward) </w:t>
      </w:r>
    </w:p>
    <w:p w:rsidR="002A07E9" w:rsidRPr="00617AA3" w:rsidRDefault="002A07E9" w:rsidP="002A07E9">
      <w:pPr>
        <w:spacing w:after="0"/>
        <w:rPr>
          <w:rFonts w:ascii="Arial" w:hAnsi="Arial" w:cs="Arial"/>
        </w:rPr>
      </w:pPr>
      <w:r w:rsidRPr="00617AA3">
        <w:rPr>
          <w:rFonts w:ascii="Arial" w:hAnsi="Arial" w:cs="Arial"/>
        </w:rPr>
        <w:t>SB 1227 - municipali</w:t>
      </w:r>
      <w:r w:rsidR="008001A1" w:rsidRPr="00617AA3">
        <w:rPr>
          <w:rFonts w:ascii="Arial" w:hAnsi="Arial" w:cs="Arial"/>
        </w:rPr>
        <w:t>ties; counties; energy efficiency</w:t>
      </w:r>
      <w:r w:rsidRPr="00617AA3">
        <w:rPr>
          <w:rFonts w:ascii="Arial" w:hAnsi="Arial" w:cs="Arial"/>
        </w:rPr>
        <w:t xml:space="preserve"> codes (Crandell)</w:t>
      </w:r>
    </w:p>
    <w:p w:rsidR="002A07E9" w:rsidRPr="00617AA3" w:rsidRDefault="002A07E9" w:rsidP="002A07E9">
      <w:pPr>
        <w:spacing w:after="0"/>
        <w:rPr>
          <w:rFonts w:ascii="Arial" w:hAnsi="Arial" w:cs="Arial"/>
        </w:rPr>
      </w:pPr>
      <w:r w:rsidRPr="00617AA3">
        <w:rPr>
          <w:rFonts w:ascii="Arial" w:hAnsi="Arial" w:cs="Arial"/>
        </w:rPr>
        <w:t>SB 1289 - teacher student loan program; appropriation (Yee)</w:t>
      </w:r>
    </w:p>
    <w:p w:rsidR="002A07E9" w:rsidRPr="00617AA3" w:rsidRDefault="002A07E9" w:rsidP="002A07E9">
      <w:pPr>
        <w:spacing w:after="0"/>
        <w:rPr>
          <w:rFonts w:ascii="Arial" w:hAnsi="Arial" w:cs="Arial"/>
        </w:rPr>
      </w:pPr>
      <w:r w:rsidRPr="00617AA3">
        <w:rPr>
          <w:rFonts w:ascii="Arial" w:hAnsi="Arial" w:cs="Arial"/>
        </w:rPr>
        <w:t>SB 1303 - property valuation; class six (Yarbrough)</w:t>
      </w:r>
    </w:p>
    <w:sectPr w:rsidR="002A07E9" w:rsidRPr="00617AA3" w:rsidSect="00684BB3">
      <w:footerReference w:type="default" r:id="rId8"/>
      <w:pgSz w:w="12240" w:h="15840"/>
      <w:pgMar w:top="900" w:right="1267" w:bottom="90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F5E" w:rsidRDefault="00287F5E" w:rsidP="00B31C68">
      <w:pPr>
        <w:spacing w:after="0" w:line="240" w:lineRule="auto"/>
      </w:pPr>
      <w:r>
        <w:separator/>
      </w:r>
    </w:p>
  </w:endnote>
  <w:endnote w:type="continuationSeparator" w:id="0">
    <w:p w:rsidR="00287F5E" w:rsidRDefault="00287F5E" w:rsidP="00B3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385070"/>
      <w:docPartObj>
        <w:docPartGallery w:val="Page Numbers (Bottom of Page)"/>
        <w:docPartUnique/>
      </w:docPartObj>
    </w:sdtPr>
    <w:sdtEndPr>
      <w:rPr>
        <w:noProof/>
      </w:rPr>
    </w:sdtEndPr>
    <w:sdtContent>
      <w:p w:rsidR="00B31C68" w:rsidRDefault="00B31C68">
        <w:pPr>
          <w:pStyle w:val="Footer"/>
          <w:jc w:val="right"/>
        </w:pPr>
        <w:r>
          <w:fldChar w:fldCharType="begin"/>
        </w:r>
        <w:r>
          <w:instrText xml:space="preserve"> PAGE   \* MERGEFORMAT </w:instrText>
        </w:r>
        <w:r>
          <w:fldChar w:fldCharType="separate"/>
        </w:r>
        <w:r w:rsidR="00FE6021">
          <w:rPr>
            <w:noProof/>
          </w:rPr>
          <w:t>1</w:t>
        </w:r>
        <w:r>
          <w:rPr>
            <w:noProof/>
          </w:rPr>
          <w:fldChar w:fldCharType="end"/>
        </w:r>
      </w:p>
    </w:sdtContent>
  </w:sdt>
  <w:p w:rsidR="00B31C68" w:rsidRDefault="00B31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F5E" w:rsidRDefault="00287F5E" w:rsidP="00B31C68">
      <w:pPr>
        <w:spacing w:after="0" w:line="240" w:lineRule="auto"/>
      </w:pPr>
      <w:r>
        <w:separator/>
      </w:r>
    </w:p>
  </w:footnote>
  <w:footnote w:type="continuationSeparator" w:id="0">
    <w:p w:rsidR="00287F5E" w:rsidRDefault="00287F5E" w:rsidP="00B31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2D7E"/>
    <w:multiLevelType w:val="hybridMultilevel"/>
    <w:tmpl w:val="20E8B0AA"/>
    <w:lvl w:ilvl="0" w:tplc="9E582B00">
      <w:start w:val="1"/>
      <w:numFmt w:val="bullet"/>
      <w:lvlText w:val=""/>
      <w:lvlJc w:val="left"/>
      <w:pPr>
        <w:ind w:left="720" w:hanging="360"/>
      </w:pPr>
      <w:rPr>
        <w:rFonts w:ascii="Symbol" w:hAnsi="Symbol"/>
      </w:rPr>
    </w:lvl>
    <w:lvl w:ilvl="1" w:tplc="F886D59C">
      <w:start w:val="1"/>
      <w:numFmt w:val="bullet"/>
      <w:lvlText w:val="o"/>
      <w:lvlJc w:val="left"/>
      <w:pPr>
        <w:ind w:left="1440" w:hanging="360"/>
      </w:pPr>
      <w:rPr>
        <w:rFonts w:ascii="Courier New" w:hAnsi="Courier New"/>
      </w:rPr>
    </w:lvl>
    <w:lvl w:ilvl="2" w:tplc="570CDA1E">
      <w:start w:val="1"/>
      <w:numFmt w:val="bullet"/>
      <w:lvlText w:val=""/>
      <w:lvlJc w:val="left"/>
      <w:pPr>
        <w:ind w:left="2160" w:hanging="360"/>
      </w:pPr>
      <w:rPr>
        <w:rFonts w:ascii="Wingdings" w:hAnsi="Wingdings"/>
      </w:rPr>
    </w:lvl>
    <w:lvl w:ilvl="3" w:tplc="45CC1AA0">
      <w:start w:val="1"/>
      <w:numFmt w:val="bullet"/>
      <w:lvlText w:val=""/>
      <w:lvlJc w:val="left"/>
      <w:pPr>
        <w:ind w:left="2880" w:hanging="360"/>
      </w:pPr>
      <w:rPr>
        <w:rFonts w:ascii="Symbol" w:hAnsi="Symbol"/>
      </w:rPr>
    </w:lvl>
    <w:lvl w:ilvl="4" w:tplc="CBA05C5E">
      <w:start w:val="1"/>
      <w:numFmt w:val="bullet"/>
      <w:lvlText w:val="o"/>
      <w:lvlJc w:val="left"/>
      <w:pPr>
        <w:ind w:left="3600" w:hanging="360"/>
      </w:pPr>
      <w:rPr>
        <w:rFonts w:ascii="Courier New" w:hAnsi="Courier New"/>
      </w:rPr>
    </w:lvl>
    <w:lvl w:ilvl="5" w:tplc="16E0F1F0">
      <w:start w:val="1"/>
      <w:numFmt w:val="bullet"/>
      <w:lvlText w:val=""/>
      <w:lvlJc w:val="left"/>
      <w:pPr>
        <w:ind w:left="4320" w:hanging="360"/>
      </w:pPr>
      <w:rPr>
        <w:rFonts w:ascii="Wingdings" w:hAnsi="Wingdings"/>
      </w:rPr>
    </w:lvl>
    <w:lvl w:ilvl="6" w:tplc="18D4F412">
      <w:start w:val="1"/>
      <w:numFmt w:val="bullet"/>
      <w:lvlText w:val=""/>
      <w:lvlJc w:val="left"/>
      <w:pPr>
        <w:ind w:left="5040" w:hanging="360"/>
      </w:pPr>
      <w:rPr>
        <w:rFonts w:ascii="Symbol" w:hAnsi="Symbol"/>
      </w:rPr>
    </w:lvl>
    <w:lvl w:ilvl="7" w:tplc="0052ACCE">
      <w:start w:val="1"/>
      <w:numFmt w:val="bullet"/>
      <w:lvlText w:val="o"/>
      <w:lvlJc w:val="left"/>
      <w:pPr>
        <w:ind w:left="5760" w:hanging="360"/>
      </w:pPr>
      <w:rPr>
        <w:rFonts w:ascii="Courier New" w:hAnsi="Courier New"/>
      </w:rPr>
    </w:lvl>
    <w:lvl w:ilvl="8" w:tplc="D728B24C">
      <w:start w:val="1"/>
      <w:numFmt w:val="bullet"/>
      <w:lvlText w:val=""/>
      <w:lvlJc w:val="left"/>
      <w:pPr>
        <w:ind w:left="6480" w:hanging="360"/>
      </w:pPr>
      <w:rPr>
        <w:rFonts w:ascii="Wingdings" w:hAnsi="Wingdings"/>
      </w:rPr>
    </w:lvl>
  </w:abstractNum>
  <w:abstractNum w:abstractNumId="1">
    <w:nsid w:val="17BF28E0"/>
    <w:multiLevelType w:val="hybridMultilevel"/>
    <w:tmpl w:val="36EC6E7A"/>
    <w:lvl w:ilvl="0" w:tplc="F31AAF0C">
      <w:numFmt w:val="bullet"/>
      <w:lvlText w:val="-"/>
      <w:lvlJc w:val="left"/>
      <w:pPr>
        <w:ind w:left="405" w:hanging="360"/>
      </w:pPr>
      <w:rPr>
        <w:rFonts w:ascii="Arial" w:hAnsi="Arial"/>
      </w:rPr>
    </w:lvl>
    <w:lvl w:ilvl="1" w:tplc="FFA63836">
      <w:start w:val="1"/>
      <w:numFmt w:val="bullet"/>
      <w:lvlText w:val="o"/>
      <w:lvlJc w:val="left"/>
      <w:pPr>
        <w:ind w:left="1125" w:hanging="360"/>
      </w:pPr>
      <w:rPr>
        <w:rFonts w:ascii="Courier New" w:hAnsi="Courier New"/>
      </w:rPr>
    </w:lvl>
    <w:lvl w:ilvl="2" w:tplc="CE867C1C">
      <w:start w:val="1"/>
      <w:numFmt w:val="bullet"/>
      <w:lvlText w:val=""/>
      <w:lvlJc w:val="left"/>
      <w:pPr>
        <w:ind w:left="1845" w:hanging="360"/>
      </w:pPr>
      <w:rPr>
        <w:rFonts w:ascii="Wingdings" w:hAnsi="Wingdings"/>
      </w:rPr>
    </w:lvl>
    <w:lvl w:ilvl="3" w:tplc="A8CE76C2">
      <w:start w:val="1"/>
      <w:numFmt w:val="bullet"/>
      <w:lvlText w:val=""/>
      <w:lvlJc w:val="left"/>
      <w:pPr>
        <w:ind w:left="2565" w:hanging="360"/>
      </w:pPr>
      <w:rPr>
        <w:rFonts w:ascii="Symbol" w:hAnsi="Symbol"/>
      </w:rPr>
    </w:lvl>
    <w:lvl w:ilvl="4" w:tplc="6018F5D6">
      <w:start w:val="1"/>
      <w:numFmt w:val="bullet"/>
      <w:lvlText w:val="o"/>
      <w:lvlJc w:val="left"/>
      <w:pPr>
        <w:ind w:left="3285" w:hanging="360"/>
      </w:pPr>
      <w:rPr>
        <w:rFonts w:ascii="Courier New" w:hAnsi="Courier New"/>
      </w:rPr>
    </w:lvl>
    <w:lvl w:ilvl="5" w:tplc="CE262C80">
      <w:start w:val="1"/>
      <w:numFmt w:val="bullet"/>
      <w:lvlText w:val=""/>
      <w:lvlJc w:val="left"/>
      <w:pPr>
        <w:ind w:left="4005" w:hanging="360"/>
      </w:pPr>
      <w:rPr>
        <w:rFonts w:ascii="Wingdings" w:hAnsi="Wingdings"/>
      </w:rPr>
    </w:lvl>
    <w:lvl w:ilvl="6" w:tplc="979E0644">
      <w:start w:val="1"/>
      <w:numFmt w:val="bullet"/>
      <w:lvlText w:val=""/>
      <w:lvlJc w:val="left"/>
      <w:pPr>
        <w:ind w:left="4725" w:hanging="360"/>
      </w:pPr>
      <w:rPr>
        <w:rFonts w:ascii="Symbol" w:hAnsi="Symbol"/>
      </w:rPr>
    </w:lvl>
    <w:lvl w:ilvl="7" w:tplc="DAF2224E">
      <w:start w:val="1"/>
      <w:numFmt w:val="bullet"/>
      <w:lvlText w:val="o"/>
      <w:lvlJc w:val="left"/>
      <w:pPr>
        <w:ind w:left="5445" w:hanging="360"/>
      </w:pPr>
      <w:rPr>
        <w:rFonts w:ascii="Courier New" w:hAnsi="Courier New"/>
      </w:rPr>
    </w:lvl>
    <w:lvl w:ilvl="8" w:tplc="9420012E">
      <w:start w:val="1"/>
      <w:numFmt w:val="bullet"/>
      <w:lvlText w:val=""/>
      <w:lvlJc w:val="left"/>
      <w:pPr>
        <w:ind w:left="6165" w:hanging="360"/>
      </w:pPr>
      <w:rPr>
        <w:rFonts w:ascii="Wingdings" w:hAnsi="Wingdings"/>
      </w:rPr>
    </w:lvl>
  </w:abstractNum>
  <w:abstractNum w:abstractNumId="2">
    <w:nsid w:val="2F355006"/>
    <w:multiLevelType w:val="hybridMultilevel"/>
    <w:tmpl w:val="DE7AAF22"/>
    <w:lvl w:ilvl="0" w:tplc="C4A2F5E8">
      <w:start w:val="1"/>
      <w:numFmt w:val="decimal"/>
      <w:lvlText w:val="%1."/>
      <w:lvlJc w:val="left"/>
      <w:pPr>
        <w:ind w:left="1080" w:hanging="360"/>
      </w:pPr>
    </w:lvl>
    <w:lvl w:ilvl="1" w:tplc="5BCE752E">
      <w:start w:val="1"/>
      <w:numFmt w:val="lowerLetter"/>
      <w:lvlText w:val="%2."/>
      <w:lvlJc w:val="left"/>
      <w:pPr>
        <w:ind w:left="1800" w:hanging="360"/>
      </w:pPr>
    </w:lvl>
    <w:lvl w:ilvl="2" w:tplc="0936BB1C">
      <w:start w:val="1"/>
      <w:numFmt w:val="lowerRoman"/>
      <w:lvlText w:val="%3."/>
      <w:lvlJc w:val="right"/>
      <w:pPr>
        <w:ind w:left="2520" w:hanging="180"/>
      </w:pPr>
    </w:lvl>
    <w:lvl w:ilvl="3" w:tplc="B49E8A06">
      <w:start w:val="1"/>
      <w:numFmt w:val="decimal"/>
      <w:lvlText w:val="%4."/>
      <w:lvlJc w:val="left"/>
      <w:pPr>
        <w:ind w:left="3240" w:hanging="360"/>
      </w:pPr>
    </w:lvl>
    <w:lvl w:ilvl="4" w:tplc="A1F49208">
      <w:start w:val="1"/>
      <w:numFmt w:val="lowerLetter"/>
      <w:lvlText w:val="%5."/>
      <w:lvlJc w:val="left"/>
      <w:pPr>
        <w:ind w:left="3960" w:hanging="360"/>
      </w:pPr>
    </w:lvl>
    <w:lvl w:ilvl="5" w:tplc="AAE24220">
      <w:start w:val="1"/>
      <w:numFmt w:val="lowerRoman"/>
      <w:lvlText w:val="%6."/>
      <w:lvlJc w:val="right"/>
      <w:pPr>
        <w:ind w:left="4680" w:hanging="180"/>
      </w:pPr>
    </w:lvl>
    <w:lvl w:ilvl="6" w:tplc="349EE8C4">
      <w:start w:val="1"/>
      <w:numFmt w:val="decimal"/>
      <w:lvlText w:val="%7."/>
      <w:lvlJc w:val="left"/>
      <w:pPr>
        <w:ind w:left="5400" w:hanging="360"/>
      </w:pPr>
    </w:lvl>
    <w:lvl w:ilvl="7" w:tplc="66BE088A">
      <w:start w:val="1"/>
      <w:numFmt w:val="lowerLetter"/>
      <w:lvlText w:val="%8."/>
      <w:lvlJc w:val="left"/>
      <w:pPr>
        <w:ind w:left="6120" w:hanging="360"/>
      </w:pPr>
    </w:lvl>
    <w:lvl w:ilvl="8" w:tplc="F8DC9894">
      <w:start w:val="1"/>
      <w:numFmt w:val="lowerRoman"/>
      <w:lvlText w:val="%9."/>
      <w:lvlJc w:val="right"/>
      <w:pPr>
        <w:ind w:left="6840" w:hanging="180"/>
      </w:pPr>
    </w:lvl>
  </w:abstractNum>
  <w:abstractNum w:abstractNumId="3">
    <w:nsid w:val="41A3589A"/>
    <w:multiLevelType w:val="hybridMultilevel"/>
    <w:tmpl w:val="0B96E6D4"/>
    <w:lvl w:ilvl="0" w:tplc="CEDC56A8">
      <w:start w:val="1"/>
      <w:numFmt w:val="decimal"/>
      <w:lvlText w:val="%1."/>
      <w:lvlJc w:val="left"/>
      <w:pPr>
        <w:ind w:left="720" w:hanging="360"/>
      </w:pPr>
    </w:lvl>
    <w:lvl w:ilvl="1" w:tplc="FB881B08">
      <w:start w:val="1"/>
      <w:numFmt w:val="lowerLetter"/>
      <w:lvlText w:val="%2."/>
      <w:lvlJc w:val="left"/>
      <w:pPr>
        <w:ind w:left="1440" w:hanging="360"/>
      </w:pPr>
    </w:lvl>
    <w:lvl w:ilvl="2" w:tplc="6F36E9D8">
      <w:start w:val="1"/>
      <w:numFmt w:val="lowerRoman"/>
      <w:lvlText w:val="%3."/>
      <w:lvlJc w:val="right"/>
      <w:pPr>
        <w:ind w:left="2160" w:hanging="180"/>
      </w:pPr>
    </w:lvl>
    <w:lvl w:ilvl="3" w:tplc="8CCCF4B6">
      <w:start w:val="1"/>
      <w:numFmt w:val="decimal"/>
      <w:lvlText w:val="%4."/>
      <w:lvlJc w:val="left"/>
      <w:pPr>
        <w:ind w:left="2880" w:hanging="360"/>
      </w:pPr>
    </w:lvl>
    <w:lvl w:ilvl="4" w:tplc="9522E86E">
      <w:start w:val="1"/>
      <w:numFmt w:val="lowerLetter"/>
      <w:lvlText w:val="%5."/>
      <w:lvlJc w:val="left"/>
      <w:pPr>
        <w:ind w:left="3600" w:hanging="360"/>
      </w:pPr>
    </w:lvl>
    <w:lvl w:ilvl="5" w:tplc="59B00B96">
      <w:start w:val="1"/>
      <w:numFmt w:val="lowerRoman"/>
      <w:lvlText w:val="%6."/>
      <w:lvlJc w:val="right"/>
      <w:pPr>
        <w:ind w:left="4320" w:hanging="180"/>
      </w:pPr>
    </w:lvl>
    <w:lvl w:ilvl="6" w:tplc="C86A11C6">
      <w:start w:val="1"/>
      <w:numFmt w:val="decimal"/>
      <w:lvlText w:val="%7."/>
      <w:lvlJc w:val="left"/>
      <w:pPr>
        <w:ind w:left="5040" w:hanging="360"/>
      </w:pPr>
    </w:lvl>
    <w:lvl w:ilvl="7" w:tplc="2FA07DDA">
      <w:start w:val="1"/>
      <w:numFmt w:val="lowerLetter"/>
      <w:lvlText w:val="%8."/>
      <w:lvlJc w:val="left"/>
      <w:pPr>
        <w:ind w:left="5760" w:hanging="360"/>
      </w:pPr>
    </w:lvl>
    <w:lvl w:ilvl="8" w:tplc="AF4A50EA">
      <w:start w:val="1"/>
      <w:numFmt w:val="lowerRoman"/>
      <w:lvlText w:val="%9."/>
      <w:lvlJc w:val="right"/>
      <w:pPr>
        <w:ind w:left="6480" w:hanging="180"/>
      </w:pPr>
    </w:lvl>
  </w:abstractNum>
  <w:abstractNum w:abstractNumId="4">
    <w:nsid w:val="488D02CE"/>
    <w:multiLevelType w:val="hybridMultilevel"/>
    <w:tmpl w:val="13C4AC1C"/>
    <w:lvl w:ilvl="0" w:tplc="4AC49472">
      <w:start w:val="1"/>
      <w:numFmt w:val="decimal"/>
      <w:lvlText w:val="%1."/>
      <w:lvlJc w:val="left"/>
      <w:pPr>
        <w:ind w:left="720" w:hanging="360"/>
      </w:pPr>
    </w:lvl>
    <w:lvl w:ilvl="1" w:tplc="773E20A6">
      <w:start w:val="1"/>
      <w:numFmt w:val="lowerLetter"/>
      <w:lvlText w:val="%2."/>
      <w:lvlJc w:val="left"/>
      <w:pPr>
        <w:ind w:left="1440" w:hanging="360"/>
      </w:pPr>
    </w:lvl>
    <w:lvl w:ilvl="2" w:tplc="FD64AEC2">
      <w:start w:val="1"/>
      <w:numFmt w:val="lowerRoman"/>
      <w:lvlText w:val="%3."/>
      <w:lvlJc w:val="right"/>
      <w:pPr>
        <w:ind w:left="2160" w:hanging="180"/>
      </w:pPr>
    </w:lvl>
    <w:lvl w:ilvl="3" w:tplc="E0C8E1F0">
      <w:start w:val="1"/>
      <w:numFmt w:val="decimal"/>
      <w:lvlText w:val="%4."/>
      <w:lvlJc w:val="left"/>
      <w:pPr>
        <w:ind w:left="2880" w:hanging="360"/>
      </w:pPr>
    </w:lvl>
    <w:lvl w:ilvl="4" w:tplc="35823564">
      <w:start w:val="1"/>
      <w:numFmt w:val="lowerLetter"/>
      <w:lvlText w:val="%5."/>
      <w:lvlJc w:val="left"/>
      <w:pPr>
        <w:ind w:left="3600" w:hanging="360"/>
      </w:pPr>
    </w:lvl>
    <w:lvl w:ilvl="5" w:tplc="AAC85DFC">
      <w:start w:val="1"/>
      <w:numFmt w:val="lowerRoman"/>
      <w:lvlText w:val="%6."/>
      <w:lvlJc w:val="right"/>
      <w:pPr>
        <w:ind w:left="4320" w:hanging="180"/>
      </w:pPr>
    </w:lvl>
    <w:lvl w:ilvl="6" w:tplc="17568CAE">
      <w:start w:val="1"/>
      <w:numFmt w:val="decimal"/>
      <w:lvlText w:val="%7."/>
      <w:lvlJc w:val="left"/>
      <w:pPr>
        <w:ind w:left="5040" w:hanging="360"/>
      </w:pPr>
    </w:lvl>
    <w:lvl w:ilvl="7" w:tplc="57442936">
      <w:start w:val="1"/>
      <w:numFmt w:val="lowerLetter"/>
      <w:lvlText w:val="%8."/>
      <w:lvlJc w:val="left"/>
      <w:pPr>
        <w:ind w:left="5760" w:hanging="360"/>
      </w:pPr>
    </w:lvl>
    <w:lvl w:ilvl="8" w:tplc="72F456E8">
      <w:start w:val="1"/>
      <w:numFmt w:val="lowerRoman"/>
      <w:lvlText w:val="%9."/>
      <w:lvlJc w:val="right"/>
      <w:pPr>
        <w:ind w:left="6480" w:hanging="180"/>
      </w:pPr>
    </w:lvl>
  </w:abstractNum>
  <w:abstractNum w:abstractNumId="5">
    <w:nsid w:val="542C5DC9"/>
    <w:multiLevelType w:val="hybridMultilevel"/>
    <w:tmpl w:val="71FA055A"/>
    <w:lvl w:ilvl="0" w:tplc="9E582B00">
      <w:start w:val="1"/>
      <w:numFmt w:val="bullet"/>
      <w:lvlText w:val=""/>
      <w:lvlJc w:val="left"/>
      <w:pPr>
        <w:ind w:left="720" w:hanging="360"/>
      </w:pPr>
      <w:rPr>
        <w:rFonts w:ascii="Symbol" w:hAnsi="Symbol"/>
      </w:rPr>
    </w:lvl>
    <w:lvl w:ilvl="1" w:tplc="04090001">
      <w:start w:val="1"/>
      <w:numFmt w:val="bullet"/>
      <w:lvlText w:val=""/>
      <w:lvlJc w:val="left"/>
      <w:pPr>
        <w:ind w:left="1440" w:hanging="360"/>
      </w:pPr>
      <w:rPr>
        <w:rFonts w:ascii="Symbol" w:hAnsi="Symbol" w:hint="default"/>
      </w:rPr>
    </w:lvl>
    <w:lvl w:ilvl="2" w:tplc="570CDA1E">
      <w:start w:val="1"/>
      <w:numFmt w:val="bullet"/>
      <w:lvlText w:val=""/>
      <w:lvlJc w:val="left"/>
      <w:pPr>
        <w:ind w:left="2160" w:hanging="360"/>
      </w:pPr>
      <w:rPr>
        <w:rFonts w:ascii="Wingdings" w:hAnsi="Wingdings"/>
      </w:rPr>
    </w:lvl>
    <w:lvl w:ilvl="3" w:tplc="45CC1AA0">
      <w:start w:val="1"/>
      <w:numFmt w:val="bullet"/>
      <w:lvlText w:val=""/>
      <w:lvlJc w:val="left"/>
      <w:pPr>
        <w:ind w:left="2880" w:hanging="360"/>
      </w:pPr>
      <w:rPr>
        <w:rFonts w:ascii="Symbol" w:hAnsi="Symbol"/>
      </w:rPr>
    </w:lvl>
    <w:lvl w:ilvl="4" w:tplc="CBA05C5E">
      <w:start w:val="1"/>
      <w:numFmt w:val="bullet"/>
      <w:lvlText w:val="o"/>
      <w:lvlJc w:val="left"/>
      <w:pPr>
        <w:ind w:left="3600" w:hanging="360"/>
      </w:pPr>
      <w:rPr>
        <w:rFonts w:ascii="Courier New" w:hAnsi="Courier New"/>
      </w:rPr>
    </w:lvl>
    <w:lvl w:ilvl="5" w:tplc="16E0F1F0">
      <w:start w:val="1"/>
      <w:numFmt w:val="bullet"/>
      <w:lvlText w:val=""/>
      <w:lvlJc w:val="left"/>
      <w:pPr>
        <w:ind w:left="4320" w:hanging="360"/>
      </w:pPr>
      <w:rPr>
        <w:rFonts w:ascii="Wingdings" w:hAnsi="Wingdings"/>
      </w:rPr>
    </w:lvl>
    <w:lvl w:ilvl="6" w:tplc="18D4F412">
      <w:start w:val="1"/>
      <w:numFmt w:val="bullet"/>
      <w:lvlText w:val=""/>
      <w:lvlJc w:val="left"/>
      <w:pPr>
        <w:ind w:left="5040" w:hanging="360"/>
      </w:pPr>
      <w:rPr>
        <w:rFonts w:ascii="Symbol" w:hAnsi="Symbol"/>
      </w:rPr>
    </w:lvl>
    <w:lvl w:ilvl="7" w:tplc="0052ACCE">
      <w:start w:val="1"/>
      <w:numFmt w:val="bullet"/>
      <w:lvlText w:val="o"/>
      <w:lvlJc w:val="left"/>
      <w:pPr>
        <w:ind w:left="5760" w:hanging="360"/>
      </w:pPr>
      <w:rPr>
        <w:rFonts w:ascii="Courier New" w:hAnsi="Courier New"/>
      </w:rPr>
    </w:lvl>
    <w:lvl w:ilvl="8" w:tplc="D728B24C">
      <w:start w:val="1"/>
      <w:numFmt w:val="bullet"/>
      <w:lvlText w:val=""/>
      <w:lvlJc w:val="left"/>
      <w:pPr>
        <w:ind w:left="6480" w:hanging="360"/>
      </w:pPr>
      <w:rPr>
        <w:rFonts w:ascii="Wingdings" w:hAnsi="Wingdings"/>
      </w:rPr>
    </w:lvl>
  </w:abstractNum>
  <w:abstractNum w:abstractNumId="6">
    <w:nsid w:val="5EF2383F"/>
    <w:multiLevelType w:val="hybridMultilevel"/>
    <w:tmpl w:val="B7769B8E"/>
    <w:lvl w:ilvl="0" w:tplc="8E500D80">
      <w:start w:val="1"/>
      <w:numFmt w:val="decimal"/>
      <w:lvlText w:val="%1."/>
      <w:lvlJc w:val="left"/>
      <w:pPr>
        <w:ind w:left="720" w:hanging="360"/>
      </w:pPr>
    </w:lvl>
    <w:lvl w:ilvl="1" w:tplc="4CB2CD32">
      <w:start w:val="1"/>
      <w:numFmt w:val="lowerLetter"/>
      <w:lvlText w:val="%2."/>
      <w:lvlJc w:val="left"/>
      <w:pPr>
        <w:ind w:left="1440" w:hanging="360"/>
      </w:pPr>
    </w:lvl>
    <w:lvl w:ilvl="2" w:tplc="742085C2">
      <w:start w:val="1"/>
      <w:numFmt w:val="lowerRoman"/>
      <w:lvlText w:val="%3."/>
      <w:lvlJc w:val="right"/>
      <w:pPr>
        <w:ind w:left="2160" w:hanging="180"/>
      </w:pPr>
    </w:lvl>
    <w:lvl w:ilvl="3" w:tplc="D6F2AEC2">
      <w:start w:val="1"/>
      <w:numFmt w:val="decimal"/>
      <w:lvlText w:val="%4."/>
      <w:lvlJc w:val="left"/>
      <w:pPr>
        <w:ind w:left="2880" w:hanging="360"/>
      </w:pPr>
    </w:lvl>
    <w:lvl w:ilvl="4" w:tplc="D4C2AE20">
      <w:start w:val="1"/>
      <w:numFmt w:val="lowerLetter"/>
      <w:lvlText w:val="%5."/>
      <w:lvlJc w:val="left"/>
      <w:pPr>
        <w:ind w:left="3600" w:hanging="360"/>
      </w:pPr>
    </w:lvl>
    <w:lvl w:ilvl="5" w:tplc="A80A2BBA">
      <w:start w:val="1"/>
      <w:numFmt w:val="lowerRoman"/>
      <w:lvlText w:val="%6."/>
      <w:lvlJc w:val="right"/>
      <w:pPr>
        <w:ind w:left="4320" w:hanging="180"/>
      </w:pPr>
    </w:lvl>
    <w:lvl w:ilvl="6" w:tplc="D97ABCA8">
      <w:start w:val="1"/>
      <w:numFmt w:val="decimal"/>
      <w:lvlText w:val="%7."/>
      <w:lvlJc w:val="left"/>
      <w:pPr>
        <w:ind w:left="5040" w:hanging="360"/>
      </w:pPr>
    </w:lvl>
    <w:lvl w:ilvl="7" w:tplc="021C32C2">
      <w:start w:val="1"/>
      <w:numFmt w:val="lowerLetter"/>
      <w:lvlText w:val="%8."/>
      <w:lvlJc w:val="left"/>
      <w:pPr>
        <w:ind w:left="5760" w:hanging="360"/>
      </w:pPr>
    </w:lvl>
    <w:lvl w:ilvl="8" w:tplc="BB20510E">
      <w:start w:val="1"/>
      <w:numFmt w:val="lowerRoman"/>
      <w:lvlText w:val="%9."/>
      <w:lvlJc w:val="right"/>
      <w:pPr>
        <w:ind w:left="6480" w:hanging="180"/>
      </w:pPr>
    </w:lvl>
  </w:abstractNum>
  <w:abstractNum w:abstractNumId="7">
    <w:nsid w:val="6A8247C8"/>
    <w:multiLevelType w:val="hybridMultilevel"/>
    <w:tmpl w:val="00000000"/>
    <w:lvl w:ilvl="0" w:tplc="13FAC35A">
      <w:start w:val="1"/>
      <w:numFmt w:val="bullet"/>
      <w:lvlText w:val="·"/>
      <w:lvlJc w:val="left"/>
      <w:pPr>
        <w:tabs>
          <w:tab w:val="num" w:pos="720"/>
        </w:tabs>
        <w:ind w:left="720" w:hanging="360"/>
      </w:pPr>
      <w:rPr>
        <w:rFonts w:ascii="Symbol" w:hAnsi="Symbol"/>
      </w:rPr>
    </w:lvl>
    <w:lvl w:ilvl="1" w:tplc="E2BC0050">
      <w:start w:val="1"/>
      <w:numFmt w:val="bullet"/>
      <w:lvlText w:val="·"/>
      <w:lvlJc w:val="left"/>
      <w:pPr>
        <w:tabs>
          <w:tab w:val="num" w:pos="1440"/>
        </w:tabs>
        <w:ind w:left="1440" w:hanging="360"/>
      </w:pPr>
      <w:rPr>
        <w:rFonts w:ascii="Symbol" w:hAnsi="Symbol"/>
      </w:rPr>
    </w:lvl>
    <w:lvl w:ilvl="2" w:tplc="66286212">
      <w:start w:val="1"/>
      <w:numFmt w:val="bullet"/>
      <w:lvlText w:val="·"/>
      <w:lvlJc w:val="left"/>
      <w:pPr>
        <w:tabs>
          <w:tab w:val="num" w:pos="2160"/>
        </w:tabs>
        <w:ind w:left="2160" w:hanging="360"/>
      </w:pPr>
      <w:rPr>
        <w:rFonts w:ascii="Symbol" w:hAnsi="Symbol"/>
      </w:rPr>
    </w:lvl>
    <w:lvl w:ilvl="3" w:tplc="C2A23FC8">
      <w:start w:val="1"/>
      <w:numFmt w:val="bullet"/>
      <w:lvlText w:val="·"/>
      <w:lvlJc w:val="left"/>
      <w:pPr>
        <w:tabs>
          <w:tab w:val="num" w:pos="2880"/>
        </w:tabs>
        <w:ind w:left="2880" w:hanging="360"/>
      </w:pPr>
      <w:rPr>
        <w:rFonts w:ascii="Symbol" w:hAnsi="Symbol"/>
      </w:rPr>
    </w:lvl>
    <w:lvl w:ilvl="4" w:tplc="3F8C4BEA">
      <w:start w:val="1"/>
      <w:numFmt w:val="bullet"/>
      <w:lvlText w:val="·"/>
      <w:lvlJc w:val="left"/>
      <w:pPr>
        <w:tabs>
          <w:tab w:val="num" w:pos="3600"/>
        </w:tabs>
        <w:ind w:left="3600" w:hanging="360"/>
      </w:pPr>
      <w:rPr>
        <w:rFonts w:ascii="Symbol" w:hAnsi="Symbol"/>
      </w:rPr>
    </w:lvl>
    <w:lvl w:ilvl="5" w:tplc="E97E2A18">
      <w:start w:val="1"/>
      <w:numFmt w:val="bullet"/>
      <w:lvlText w:val="·"/>
      <w:lvlJc w:val="left"/>
      <w:pPr>
        <w:tabs>
          <w:tab w:val="num" w:pos="4320"/>
        </w:tabs>
        <w:ind w:left="4320" w:hanging="360"/>
      </w:pPr>
      <w:rPr>
        <w:rFonts w:ascii="Symbol" w:hAnsi="Symbol"/>
      </w:rPr>
    </w:lvl>
    <w:lvl w:ilvl="6" w:tplc="38AC8882">
      <w:start w:val="1"/>
      <w:numFmt w:val="bullet"/>
      <w:lvlText w:val="·"/>
      <w:lvlJc w:val="left"/>
      <w:pPr>
        <w:tabs>
          <w:tab w:val="num" w:pos="5040"/>
        </w:tabs>
        <w:ind w:left="5040" w:hanging="360"/>
      </w:pPr>
      <w:rPr>
        <w:rFonts w:ascii="Symbol" w:hAnsi="Symbol"/>
      </w:rPr>
    </w:lvl>
    <w:lvl w:ilvl="7" w:tplc="4AA291E0">
      <w:start w:val="1"/>
      <w:numFmt w:val="bullet"/>
      <w:lvlText w:val="·"/>
      <w:lvlJc w:val="left"/>
      <w:pPr>
        <w:tabs>
          <w:tab w:val="num" w:pos="5760"/>
        </w:tabs>
        <w:ind w:left="5760" w:hanging="360"/>
      </w:pPr>
      <w:rPr>
        <w:rFonts w:ascii="Symbol" w:hAnsi="Symbol"/>
      </w:rPr>
    </w:lvl>
    <w:lvl w:ilvl="8" w:tplc="BE30AA4E">
      <w:start w:val="1"/>
      <w:numFmt w:val="bullet"/>
      <w:lvlText w:val="·"/>
      <w:lvlJc w:val="left"/>
      <w:pPr>
        <w:tabs>
          <w:tab w:val="num" w:pos="6480"/>
        </w:tabs>
        <w:ind w:left="6480" w:hanging="360"/>
      </w:pPr>
      <w:rPr>
        <w:rFonts w:ascii="Symbol" w:hAnsi="Symbol"/>
      </w:rPr>
    </w:lvl>
  </w:abstractNum>
  <w:abstractNum w:abstractNumId="8">
    <w:nsid w:val="741D5326"/>
    <w:multiLevelType w:val="hybridMultilevel"/>
    <w:tmpl w:val="00000000"/>
    <w:lvl w:ilvl="0" w:tplc="77D6E836">
      <w:start w:val="1"/>
      <w:numFmt w:val="bullet"/>
      <w:lvlText w:val="·"/>
      <w:lvlJc w:val="left"/>
      <w:pPr>
        <w:tabs>
          <w:tab w:val="num" w:pos="720"/>
        </w:tabs>
        <w:ind w:left="720" w:hanging="360"/>
      </w:pPr>
      <w:rPr>
        <w:rFonts w:ascii="Symbol" w:hAnsi="Symbol"/>
      </w:rPr>
    </w:lvl>
    <w:lvl w:ilvl="1" w:tplc="DC181064">
      <w:start w:val="1"/>
      <w:numFmt w:val="bullet"/>
      <w:lvlText w:val="·"/>
      <w:lvlJc w:val="left"/>
      <w:pPr>
        <w:tabs>
          <w:tab w:val="num" w:pos="1440"/>
        </w:tabs>
        <w:ind w:left="1440" w:hanging="360"/>
      </w:pPr>
      <w:rPr>
        <w:rFonts w:ascii="Symbol" w:hAnsi="Symbol"/>
      </w:rPr>
    </w:lvl>
    <w:lvl w:ilvl="2" w:tplc="493021D4">
      <w:start w:val="1"/>
      <w:numFmt w:val="bullet"/>
      <w:lvlText w:val="·"/>
      <w:lvlJc w:val="left"/>
      <w:pPr>
        <w:tabs>
          <w:tab w:val="num" w:pos="2160"/>
        </w:tabs>
        <w:ind w:left="2160" w:hanging="360"/>
      </w:pPr>
      <w:rPr>
        <w:rFonts w:ascii="Symbol" w:hAnsi="Symbol"/>
      </w:rPr>
    </w:lvl>
    <w:lvl w:ilvl="3" w:tplc="4A8C2F4E">
      <w:start w:val="1"/>
      <w:numFmt w:val="bullet"/>
      <w:lvlText w:val="·"/>
      <w:lvlJc w:val="left"/>
      <w:pPr>
        <w:tabs>
          <w:tab w:val="num" w:pos="2880"/>
        </w:tabs>
        <w:ind w:left="2880" w:hanging="360"/>
      </w:pPr>
      <w:rPr>
        <w:rFonts w:ascii="Symbol" w:hAnsi="Symbol"/>
      </w:rPr>
    </w:lvl>
    <w:lvl w:ilvl="4" w:tplc="32DEE0F6">
      <w:start w:val="1"/>
      <w:numFmt w:val="bullet"/>
      <w:lvlText w:val="·"/>
      <w:lvlJc w:val="left"/>
      <w:pPr>
        <w:tabs>
          <w:tab w:val="num" w:pos="3600"/>
        </w:tabs>
        <w:ind w:left="3600" w:hanging="360"/>
      </w:pPr>
      <w:rPr>
        <w:rFonts w:ascii="Symbol" w:hAnsi="Symbol"/>
      </w:rPr>
    </w:lvl>
    <w:lvl w:ilvl="5" w:tplc="BDA26522">
      <w:start w:val="1"/>
      <w:numFmt w:val="bullet"/>
      <w:lvlText w:val="·"/>
      <w:lvlJc w:val="left"/>
      <w:pPr>
        <w:tabs>
          <w:tab w:val="num" w:pos="4320"/>
        </w:tabs>
        <w:ind w:left="4320" w:hanging="360"/>
      </w:pPr>
      <w:rPr>
        <w:rFonts w:ascii="Symbol" w:hAnsi="Symbol"/>
      </w:rPr>
    </w:lvl>
    <w:lvl w:ilvl="6" w:tplc="2B0E01F8">
      <w:start w:val="1"/>
      <w:numFmt w:val="bullet"/>
      <w:lvlText w:val="·"/>
      <w:lvlJc w:val="left"/>
      <w:pPr>
        <w:tabs>
          <w:tab w:val="num" w:pos="5040"/>
        </w:tabs>
        <w:ind w:left="5040" w:hanging="360"/>
      </w:pPr>
      <w:rPr>
        <w:rFonts w:ascii="Symbol" w:hAnsi="Symbol"/>
      </w:rPr>
    </w:lvl>
    <w:lvl w:ilvl="7" w:tplc="F7B8FCDA">
      <w:start w:val="1"/>
      <w:numFmt w:val="bullet"/>
      <w:lvlText w:val="·"/>
      <w:lvlJc w:val="left"/>
      <w:pPr>
        <w:tabs>
          <w:tab w:val="num" w:pos="5760"/>
        </w:tabs>
        <w:ind w:left="5760" w:hanging="360"/>
      </w:pPr>
      <w:rPr>
        <w:rFonts w:ascii="Symbol" w:hAnsi="Symbol"/>
      </w:rPr>
    </w:lvl>
    <w:lvl w:ilvl="8" w:tplc="E70A208A">
      <w:start w:val="1"/>
      <w:numFmt w:val="bullet"/>
      <w:lvlText w:val="·"/>
      <w:lvlJc w:val="left"/>
      <w:pPr>
        <w:tabs>
          <w:tab w:val="num" w:pos="6480"/>
        </w:tabs>
        <w:ind w:left="6480" w:hanging="360"/>
      </w:pPr>
      <w:rPr>
        <w:rFonts w:ascii="Symbol" w:hAnsi="Symbol"/>
      </w:r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94"/>
    <w:rsid w:val="00041EB7"/>
    <w:rsid w:val="0004358B"/>
    <w:rsid w:val="00070218"/>
    <w:rsid w:val="000776C8"/>
    <w:rsid w:val="000C76A9"/>
    <w:rsid w:val="000D0C76"/>
    <w:rsid w:val="000D1F28"/>
    <w:rsid w:val="000D76D8"/>
    <w:rsid w:val="000E7E6C"/>
    <w:rsid w:val="001244E0"/>
    <w:rsid w:val="00124F0C"/>
    <w:rsid w:val="00127E77"/>
    <w:rsid w:val="0014480E"/>
    <w:rsid w:val="00145E9A"/>
    <w:rsid w:val="001544F9"/>
    <w:rsid w:val="001631C0"/>
    <w:rsid w:val="0016663F"/>
    <w:rsid w:val="00172EF8"/>
    <w:rsid w:val="001E6BA0"/>
    <w:rsid w:val="001E781B"/>
    <w:rsid w:val="002017D8"/>
    <w:rsid w:val="00205DCA"/>
    <w:rsid w:val="0022185B"/>
    <w:rsid w:val="00230E8C"/>
    <w:rsid w:val="00245438"/>
    <w:rsid w:val="00253A8C"/>
    <w:rsid w:val="00254742"/>
    <w:rsid w:val="002723E9"/>
    <w:rsid w:val="00283EF9"/>
    <w:rsid w:val="00287F5E"/>
    <w:rsid w:val="002A07E9"/>
    <w:rsid w:val="002A0993"/>
    <w:rsid w:val="002A2EAC"/>
    <w:rsid w:val="002B53B8"/>
    <w:rsid w:val="002C30B6"/>
    <w:rsid w:val="002D3F72"/>
    <w:rsid w:val="002E2DAD"/>
    <w:rsid w:val="00307BE7"/>
    <w:rsid w:val="00326D20"/>
    <w:rsid w:val="003430FE"/>
    <w:rsid w:val="00375C7E"/>
    <w:rsid w:val="00397414"/>
    <w:rsid w:val="00397A2B"/>
    <w:rsid w:val="003C3694"/>
    <w:rsid w:val="003D4099"/>
    <w:rsid w:val="003F04AB"/>
    <w:rsid w:val="003F792F"/>
    <w:rsid w:val="004108BE"/>
    <w:rsid w:val="00435C17"/>
    <w:rsid w:val="00441866"/>
    <w:rsid w:val="004547E7"/>
    <w:rsid w:val="00461CD4"/>
    <w:rsid w:val="00491850"/>
    <w:rsid w:val="004B4C97"/>
    <w:rsid w:val="004D30ED"/>
    <w:rsid w:val="004D375B"/>
    <w:rsid w:val="004E1D47"/>
    <w:rsid w:val="004F1E21"/>
    <w:rsid w:val="00511371"/>
    <w:rsid w:val="00524CBE"/>
    <w:rsid w:val="0053794C"/>
    <w:rsid w:val="00547E5E"/>
    <w:rsid w:val="005640AF"/>
    <w:rsid w:val="005667E0"/>
    <w:rsid w:val="005A4C50"/>
    <w:rsid w:val="005B68BE"/>
    <w:rsid w:val="005D12D0"/>
    <w:rsid w:val="005D419B"/>
    <w:rsid w:val="005E24E4"/>
    <w:rsid w:val="00601168"/>
    <w:rsid w:val="00617AA3"/>
    <w:rsid w:val="00620C33"/>
    <w:rsid w:val="0062646A"/>
    <w:rsid w:val="00640DE5"/>
    <w:rsid w:val="00654FA1"/>
    <w:rsid w:val="006551EF"/>
    <w:rsid w:val="00684BB3"/>
    <w:rsid w:val="006B441B"/>
    <w:rsid w:val="006D0EC4"/>
    <w:rsid w:val="006D6A40"/>
    <w:rsid w:val="006E0987"/>
    <w:rsid w:val="00710592"/>
    <w:rsid w:val="0071182E"/>
    <w:rsid w:val="00722756"/>
    <w:rsid w:val="007311F8"/>
    <w:rsid w:val="00736B46"/>
    <w:rsid w:val="00750F38"/>
    <w:rsid w:val="00767A59"/>
    <w:rsid w:val="007717B5"/>
    <w:rsid w:val="00780CDC"/>
    <w:rsid w:val="00784835"/>
    <w:rsid w:val="00784F5A"/>
    <w:rsid w:val="00793B45"/>
    <w:rsid w:val="00793FFA"/>
    <w:rsid w:val="007A3D15"/>
    <w:rsid w:val="008001A1"/>
    <w:rsid w:val="008063C9"/>
    <w:rsid w:val="00811223"/>
    <w:rsid w:val="00814DA2"/>
    <w:rsid w:val="008153DC"/>
    <w:rsid w:val="008304BC"/>
    <w:rsid w:val="008312BB"/>
    <w:rsid w:val="00883752"/>
    <w:rsid w:val="00886890"/>
    <w:rsid w:val="008B6671"/>
    <w:rsid w:val="008E4561"/>
    <w:rsid w:val="008E4712"/>
    <w:rsid w:val="008F6CE5"/>
    <w:rsid w:val="00905A9B"/>
    <w:rsid w:val="00914DF2"/>
    <w:rsid w:val="00917BAC"/>
    <w:rsid w:val="009408DD"/>
    <w:rsid w:val="00945599"/>
    <w:rsid w:val="00951DB8"/>
    <w:rsid w:val="009610E5"/>
    <w:rsid w:val="009706FC"/>
    <w:rsid w:val="009B3AD2"/>
    <w:rsid w:val="009D6F2A"/>
    <w:rsid w:val="009E715A"/>
    <w:rsid w:val="009F7433"/>
    <w:rsid w:val="00A46E60"/>
    <w:rsid w:val="00A645EF"/>
    <w:rsid w:val="00A77CFB"/>
    <w:rsid w:val="00AD46CA"/>
    <w:rsid w:val="00AF36C8"/>
    <w:rsid w:val="00B05CFC"/>
    <w:rsid w:val="00B07761"/>
    <w:rsid w:val="00B31C68"/>
    <w:rsid w:val="00B6665E"/>
    <w:rsid w:val="00B97110"/>
    <w:rsid w:val="00BA2C52"/>
    <w:rsid w:val="00BB3C42"/>
    <w:rsid w:val="00C2434E"/>
    <w:rsid w:val="00C4576F"/>
    <w:rsid w:val="00CA4ECB"/>
    <w:rsid w:val="00CC6CBF"/>
    <w:rsid w:val="00CE4F11"/>
    <w:rsid w:val="00CF0C21"/>
    <w:rsid w:val="00D24983"/>
    <w:rsid w:val="00D40DE9"/>
    <w:rsid w:val="00D47D9B"/>
    <w:rsid w:val="00D830F1"/>
    <w:rsid w:val="00DC4740"/>
    <w:rsid w:val="00DC476D"/>
    <w:rsid w:val="00E21354"/>
    <w:rsid w:val="00E664C2"/>
    <w:rsid w:val="00E75AB7"/>
    <w:rsid w:val="00E76FFA"/>
    <w:rsid w:val="00EB215E"/>
    <w:rsid w:val="00ED75AA"/>
    <w:rsid w:val="00EF2F50"/>
    <w:rsid w:val="00F361F7"/>
    <w:rsid w:val="00F62DDA"/>
    <w:rsid w:val="00F839CD"/>
    <w:rsid w:val="00F85439"/>
    <w:rsid w:val="00FC3FDB"/>
    <w:rsid w:val="00FD032E"/>
    <w:rsid w:val="00FE1728"/>
    <w:rsid w:val="00FE6021"/>
    <w:rsid w:val="00FF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A2B"/>
    <w:pPr>
      <w:ind w:left="720"/>
      <w:contextualSpacing/>
    </w:pPr>
  </w:style>
  <w:style w:type="paragraph" w:styleId="BalloonText">
    <w:name w:val="Balloon Text"/>
    <w:basedOn w:val="Normal"/>
    <w:link w:val="BalloonTextChar"/>
    <w:uiPriority w:val="99"/>
    <w:semiHidden/>
    <w:unhideWhenUsed/>
    <w:rsid w:val="000D7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6D8"/>
    <w:rPr>
      <w:rFonts w:ascii="Tahoma" w:hAnsi="Tahoma" w:cs="Tahoma"/>
      <w:sz w:val="16"/>
      <w:szCs w:val="16"/>
    </w:rPr>
  </w:style>
  <w:style w:type="paragraph" w:styleId="Header">
    <w:name w:val="header"/>
    <w:basedOn w:val="Normal"/>
    <w:link w:val="HeaderChar"/>
    <w:uiPriority w:val="99"/>
    <w:unhideWhenUsed/>
    <w:rsid w:val="00B3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C68"/>
  </w:style>
  <w:style w:type="paragraph" w:styleId="Footer">
    <w:name w:val="footer"/>
    <w:basedOn w:val="Normal"/>
    <w:link w:val="FooterChar"/>
    <w:uiPriority w:val="99"/>
    <w:unhideWhenUsed/>
    <w:rsid w:val="00B3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A2B"/>
    <w:pPr>
      <w:ind w:left="720"/>
      <w:contextualSpacing/>
    </w:pPr>
  </w:style>
  <w:style w:type="paragraph" w:styleId="BalloonText">
    <w:name w:val="Balloon Text"/>
    <w:basedOn w:val="Normal"/>
    <w:link w:val="BalloonTextChar"/>
    <w:uiPriority w:val="99"/>
    <w:semiHidden/>
    <w:unhideWhenUsed/>
    <w:rsid w:val="000D7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6D8"/>
    <w:rPr>
      <w:rFonts w:ascii="Tahoma" w:hAnsi="Tahoma" w:cs="Tahoma"/>
      <w:sz w:val="16"/>
      <w:szCs w:val="16"/>
    </w:rPr>
  </w:style>
  <w:style w:type="paragraph" w:styleId="Header">
    <w:name w:val="header"/>
    <w:basedOn w:val="Normal"/>
    <w:link w:val="HeaderChar"/>
    <w:uiPriority w:val="99"/>
    <w:unhideWhenUsed/>
    <w:rsid w:val="00B3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C68"/>
  </w:style>
  <w:style w:type="paragraph" w:styleId="Footer">
    <w:name w:val="footer"/>
    <w:basedOn w:val="Normal"/>
    <w:link w:val="FooterChar"/>
    <w:uiPriority w:val="99"/>
    <w:unhideWhenUsed/>
    <w:rsid w:val="00B3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1980">
      <w:bodyDiv w:val="1"/>
      <w:marLeft w:val="0"/>
      <w:marRight w:val="0"/>
      <w:marTop w:val="0"/>
      <w:marBottom w:val="0"/>
      <w:divBdr>
        <w:top w:val="none" w:sz="0" w:space="0" w:color="auto"/>
        <w:left w:val="none" w:sz="0" w:space="0" w:color="auto"/>
        <w:bottom w:val="none" w:sz="0" w:space="0" w:color="auto"/>
        <w:right w:val="none" w:sz="0" w:space="0" w:color="auto"/>
      </w:divBdr>
      <w:divsChild>
        <w:div w:id="1145853870">
          <w:marLeft w:val="0"/>
          <w:marRight w:val="0"/>
          <w:marTop w:val="0"/>
          <w:marBottom w:val="0"/>
          <w:divBdr>
            <w:top w:val="none" w:sz="0" w:space="0" w:color="auto"/>
            <w:left w:val="none" w:sz="0" w:space="0" w:color="auto"/>
            <w:bottom w:val="none" w:sz="0" w:space="0" w:color="auto"/>
            <w:right w:val="none" w:sz="0" w:space="0" w:color="auto"/>
          </w:divBdr>
        </w:div>
      </w:divsChild>
    </w:div>
    <w:div w:id="19280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8052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cf67</dc:creator>
  <cp:lastModifiedBy>Betty J Flaming</cp:lastModifiedBy>
  <cp:revision>2</cp:revision>
  <cp:lastPrinted>2012-01-18T21:27:00Z</cp:lastPrinted>
  <dcterms:created xsi:type="dcterms:W3CDTF">2014-06-10T22:06:00Z</dcterms:created>
  <dcterms:modified xsi:type="dcterms:W3CDTF">2014-06-10T22:06:00Z</dcterms:modified>
</cp:coreProperties>
</file>